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ATAS/1122/2017 vom 7. Dezember 2017</w:t>
      </w:r>
    </w:p>
    <w:p>
      <w:r>
        <w:t>GE Cour de justice, 2017-12-07, FR</w:t>
      </w:r>
    </w:p>
    <w:p>
      <w:r>
        <w:rPr>
          <w:b/>
        </w:rPr>
        <w:t xml:space="preserve">Quelle: </w:t>
      </w:r>
      <w:r>
        <w:t>https://mcp.opencaselaw.ch/entscheid/ge_gerichte_ATAS_1122_2017</w:t>
      </w:r>
    </w:p>
    <w:p>
      <w:r>
        <w:t>FR: GE_GERICHTE ATAS/1122/2017 du 7 décembre 2017</w:t>
      </w:r>
    </w:p>
    <w:p>
      <w:r>
        <w:t>IT: GE_GERICHTE ATAS/1122/2017 del 7 dicembre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a entraîné la modification de nombreuses dispositions légales dans le domaine de l'assurance-invalidité. Cela étant, les notions et les principes développés jusqu'alors par la jurisprudence en matière d’évaluation de l'invalidité n'ont pas été modifiés par l'entrée en vigueur de la LPGA (voir ATF 130 V 343). Par ailleurs, la loi fédérale du 16 décembre 2005 modifiant la loi fédérale sur l'assurance-invalidité est entrée en vigueur le 1er juillet 2006 (RO 2006 2003), apportant des modifications qui concernent notamment la procédure conduite devant la Chambre de céans (art. 52, 58 et 61 let. a LPGA).</w:t>
      </w:r>
    </w:p>
    <w:p>
      <w:r>
        <w:t>A/665/2016 - 6/9 -</w:t>
      </w:r>
    </w:p>
    <w:p>
      <w:r>
        <w:rPr>
          <w:b/>
        </w:rPr>
        <w:t>E. 3</w:t>
      </w:r>
    </w:p>
    <w:p>
      <w:r>
        <w:t>Interjeté dans les forme et délai légaux (art. 56 à 60 LPGA), le recours est recevable.</w:t>
      </w:r>
    </w:p>
    <w:p>
      <w:r>
        <w:rPr>
          <w:b/>
        </w:rPr>
        <w:t>E. 4</w:t>
      </w:r>
    </w:p>
    <w:p>
      <w:r>
        <w:t>Est litigieuse en l’espèce la question de savoir si les atteintes à la santé du recourant entraînent une perte de gain susceptible de lui ouvrir droit à des prestations de l’assurance-invalidité, plus particulièrement celle de savoir si l’aggravation dont l’intimé admet qu’elle a été rendue plausible est antérieure ou non à la décision litigieuse et quelles conséquences elle entraîne en termes d’incapacité de travail et de perte de gain.</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w:t>
      </w:r>
    </w:p>
    <w:p>
      <w:r>
        <w:t>A/665/2016 - 7/9 -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rPr>
          <w:b/>
        </w:rPr>
        <w:t>E. 9</w:t>
      </w:r>
    </w:p>
    <w:p>
      <w:r>
        <w:t>Enfin, on rappellera que,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w:t>
      </w:r>
    </w:p>
    <w:p>
      <w:r>
        <w:t>A/665/2016 - 8/9 -</w:t>
      </w:r>
    </w:p>
    <w:p>
      <w:r>
        <w:rPr>
          <w:b/>
        </w:rPr>
        <w:t>E. 10</w:t>
      </w:r>
    </w:p>
    <w:p>
      <w:r>
        <w:t>En l'espèce, et contrairement à ce que persiste à soutenir l’intimé en dépit de l’avis de son propre service médical, il n’est pas démontré que l’aggravation probable est postérieure à la décision litigieuse. Certes, les examens l’ayant objectivée sont intervenus peu après. Il ressort cependant clairement de plusieurs rapports médicaux que les plaintes objectivées par la suite remontaient à quelques mois plus tôt. Qui plus est, on ne saurait décemment soutenir qu’une atteinte objectivée par une IRM du 27 janvier 2016 - soit le lendemain de la décision litigieuse - aurait brutalement fait son apparition en 24 heures. La Cour de céans ne saurait en l’état conclure à une aggravation postérieure à la décision litigieuse et renvoyer l’assuré à déposer une nouvelle demande qui le priverait d’une partie de ses droits si les investigations suggérées par le SMR devaient finalement révéler que l’aggravation est intervenue antérieurement. Au vu des avis réitérés du SMR, il apparaît manifeste que des investigations médicales complémentaires sont nécessaires sur le plan rhumatologique, afin de déterminer à partir de quand précisément et dans quelle mesure l’aggravation de la problématique rachidienne a pu avoir une incidence sur la capacité de travail et quelle a été l’évolution de celle-ci dans le temps. La cause n'étant, de l'avis de la Cour de céans comme du recourant, pas suffisamment instruite pour permettre de se déterminer en connaissance de cause, il convient d’admettre partiellement le recours et de renvoyer la cause à l’intimé pour instruction complémentaire puis nouvelle décision. En effet, quand bien même le recourant sollicite qu’il soit renoncé au renvoi, le caractère lacunaire de l’instruction menée jusqu’à présent s’oppose à cette solution.</w:t>
      </w:r>
    </w:p>
    <w:p>
      <w:r>
        <w:rPr>
          <w:b/>
        </w:rPr>
        <w:t>E. 11</w:t>
      </w:r>
    </w:p>
    <w:p>
      <w:r>
        <w:t>Il est rappelé que le recourant qui obtient gain de cause a droit au remboursement de ses frais et dépens ainsi que de ceux de son mandataire. Or, tel est le cas en l’espèce dès lors qu’il est avéré que l’instruction du dossier nécessite d’être complétée.</w:t>
      </w:r>
    </w:p>
    <w:p>
      <w:r>
        <w:t>A/665/2016 - 9/9 -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