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ATAS/1122/2010 vom 5. Januar 2004</w:t>
      </w:r>
    </w:p>
    <w:p>
      <w:r>
        <w:t>GE Cour de justice, 2004-01-05, FR</w:t>
      </w:r>
    </w:p>
    <w:p>
      <w:r>
        <w:rPr>
          <w:b/>
        </w:rPr>
        <w:t xml:space="preserve">Quelle: </w:t>
      </w:r>
      <w:r>
        <w:t>https://mcp.opencaselaw.ch/entscheid/ge_gerichte_ATAS_1122_2010</w:t>
      </w:r>
    </w:p>
    <w:p>
      <w:r>
        <w:t>FR: GE_GERICHTE ATAS/1122/2010 du 5 janvier 2004</w:t>
      </w:r>
    </w:p>
    <w:p>
      <w:r>
        <w:t>IT: GE_GERICHTE ATAS/1122/2010 del 5 gennaio 2004</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et à l’art. 43 de la loi sur les prestations cantonales complémentaires à l’assurance-vieillesse et survivants et à l’assurance-invalidité, du 25 octobre 1968 (LPCC ; RS J 7 15 ; cf. art. 56V al. 2 let. a LOJ). Sa compétence pour juger du cas d’espèce est ainsi établie.</w:t>
      </w:r>
    </w:p>
    <w:p>
      <w:r>
        <w:rPr>
          <w:b/>
        </w:rPr>
        <w:t>E. 2</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w:t>
      </w:r>
    </w:p>
    <w:p>
      <w:r>
        <w:t>A/3123/2010 - 5/8 - c) En l’espèce, le présent recours a été interjeté dans les forme et délai prévus par la loi, de sorte qu’il est recevable.</w:t>
      </w:r>
    </w:p>
    <w:p>
      <w:r>
        <w:rPr>
          <w:b/>
        </w:rPr>
        <w:t>E. 3</w:t>
      </w:r>
    </w:p>
    <w:p>
      <w:r>
        <w:t>Le litige porte uniquement sur les conditions d’une remise de l’obligation de restituer les prestations complémentaires, et singulièrement sur celle de la bonne foi.</w:t>
      </w:r>
    </w:p>
    <w:p>
      <w:r>
        <w:rPr>
          <w:b/>
        </w:rPr>
        <w:t>E. 4</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w:t>
      </w:r>
    </w:p>
    <w:p>
      <w:r>
        <w:t>A/3123/2010 - 6/8 -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 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Le devoir d’informer l’administration s’étend à tous les faits qui ont une importance pour le droit aux prestations.</w:t>
      </w:r>
    </w:p>
    <w:p>
      <w:r>
        <w:rPr>
          <w:b/>
        </w:rPr>
        <w:t>E. 5</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l’intimé estime que la condition de la bonne foi n’est pas réalisée, attendu qu’il n’a pas été informé du revenu de l’époux de la recourante. Celle-ci déclare quant à elle ne jamais avoir occulté sa relation avec son époux, produisant à cet égard un courrier du 23 août 2001 que lui a adressé le SPC.</w:t>
      </w:r>
    </w:p>
    <w:p>
      <w:r>
        <w:t>A/3123/2010 - 7/8 - Il est vrai, eu égard au courrier précité envoyé par le SPC à la recourante à l’adresse de son époux, que le SPC devait avoir connaissance depuis le mois d’août 2001, à tout le moins, du fait que la recourante habitait à la même adresse que son époux. Cependant, il ne ressort pas du dossier que la recourante ait informé le SPC des revenus de son époux depuis la reprise de la vie commune durant l’année 1993. Elle ne le fait d’ailleurs pas valoir, de sorte qu’il paraît évident qu’elle n’a pas satisfait à son obligation de renseigner le SPC sur sa situation financière. Au vu de ce qui précède, le Tribunal de céans ne peut que conclure que la condition de la bonne foi fait en l’occurrence défaut. Bien qu’il soit superflu dans ces circonstances d’examiner la condition de la situation difficile, il sera toutefois remarqué qu’au vu de l’avis de taxation 2010 des époux N____________, cette condition ne saurait être réalisée. Par conséquent, les conditions d’une remise ne sont pas remplies.</w:t>
      </w:r>
    </w:p>
    <w:p>
      <w:r>
        <w:rPr>
          <w:b/>
        </w:rPr>
        <w:t>E. 7</w:t>
      </w:r>
    </w:p>
    <w:p>
      <w:r>
        <w:t>Mal fondé, le recours doit ainsi être rejeté.</w:t>
      </w:r>
    </w:p>
    <w:p>
      <w:r>
        <w:t>A/3123/2010 - 8/8 -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