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ATAS/1120/2013 vom 19. November 2013</w:t>
      </w:r>
    </w:p>
    <w:p>
      <w:r>
        <w:t>GE Cour de justice, 2013-11-19, FR</w:t>
      </w:r>
    </w:p>
    <w:p>
      <w:r>
        <w:rPr>
          <w:b/>
        </w:rPr>
        <w:t xml:space="preserve">Quelle: </w:t>
      </w:r>
      <w:r>
        <w:t>https://mcp.opencaselaw.ch/entscheid/ge_gerichte_ATAS_1120_2013</w:t>
      </w:r>
    </w:p>
    <w:p>
      <w:r>
        <w:t>FR: GE_GERICHTE ATAS/1120/2013 du 19 novembre 2013</w:t>
      </w:r>
    </w:p>
    <w:p>
      <w:r>
        <w:t>IT: GE_GERICHTE ATAS/1120/2013 del 19 novembre 2013</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(art. 56ss LPGA), le présent recours est recevable.</w:t>
      </w:r>
    </w:p>
    <w:p>
      <w:r>
        <w:rPr>
          <w:b/>
        </w:rPr>
        <w:t>E. 4</w:t>
      </w:r>
    </w:p>
    <w:p>
      <w:r>
        <w:t>Le litige porte sur le droit du recourant à des mesures d’ordre professionnel.</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w:t>
      </w:r>
    </w:p>
    <w:p>
      <w:r>
        <w:t>A/690/2013 - 13/17 -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Aux termes de l’art. 7 al. 1 LAI, l’assuré doit entreprendre tout ce qui peut être raisonnablement exigé de lui pour réduire la durée et l’étendue de l’incapacité de travail (art. 6 LPGA) et pour empêcher la survenance d’une invalidité (art. 8 LPGA). Conformément cela ressort l’art. 7 al. 2 let. c et d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d’ordre professionnel (art. 15 à 18 et 18b) et de traitements médicaux au sens de l’art. 25 LAMal.</w:t>
      </w:r>
    </w:p>
    <w:p>
      <w:r>
        <w:rPr>
          <w:b/>
        </w:rPr>
        <w:t>E. 6</w:t>
      </w:r>
    </w:p>
    <w:p>
      <w:r>
        <w:t>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 ATF non publié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w:t>
      </w:r>
    </w:p>
    <w:p>
      <w:r>
        <w:t>A/690/2013 - 14/17 -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(ATFA non publié I 169/06 du</w:t>
      </w:r>
    </w:p>
    <w:p>
      <w:r>
        <w:rPr>
          <w:b/>
        </w:rPr>
        <w:t>E. 8</w:t>
      </w:r>
    </w:p>
    <w:p>
      <w:r>
        <w:t>Dans son expertise du 22 août 2012, le Dr S__________, après avoir pris connaissance du dossier médical du recourant, a noté que la toxicomanie était secondaire au trouble de psychose infantile. Il a confirmé cet avis dans son complément d’expertise du 4 juillet 2013. Sur ce point, il n’existe pas de motif de s’écarter de cette conclusion, qui est convaincante dès lors que la sévère pathologie dont le recourant a souffert dans son enfance précède la toxicomanie. On doit donc admettre que le lien de causalité entre la maladie psychique du recourant alors qu’il était enfant et la toxicomanie est démontré au degré de la vraisemblance prépondérante, même si, comme le souligne l’expert, une causalité irréfragable ne peut être prouvée dans de telles pathologies. Par surabondance, il convient de souligner que même s’il fallait considérer que l’utilisation de substances toxiques n’est pas imputable à la psychose infantile, cette dernière a néanmoins eu des conséquences invalidantes puisqu’elle a entraîné des difficultés scolaires et d’apprentissage, qui expliquent également la situation actuelle du recourant selon l’expert. Ce dernier ajoute d’ailleurs que des mesures de réadaptation se révèlent nécessaires pour ce motif. En revanche, l’expertise se révèle insuffisamment probante sur d’autres points. Les conclusions prises par le Dr S__________ paraissent en effet contradictoires à certains égards. En premier lieu, il exclut tout diagnostic ayant des répercussions sur la capacité de travail tout en indiquant que celle-ci est nulle lors des périodes de consommation de drogue et alors même qu’il admet le caractère secondaire de la polytoxicomanie constatée. De plus, le Dr S__________ paraît admettre dans son courrier du 4 juillet 2013 que les éléments anamnestiques qui lui ont été rapportés par l’éducatrice du recourant lui ont échappé, ce qui génère quelques doutes sur</w:t>
      </w:r>
    </w:p>
    <w:p>
      <w:r>
        <w:t>A/690/2013 - 16/17 - l’exactitude de certaines de ses conclusions. On notera que les Drs V__________ et U__________ ont signalé de telles perturbations significatives du fonctionnement social et interpersonnel quotidien du recourant dans leur expertise du 20 août 2012. Contrairement à ce que semble affirmer l’intimé, le seul fait que ces spécialistes aient examiné le recourant dans un contexte pénal et non assécurologique ne suffit pas à écarter leurs conclusions. Par ailleurs, ces médecins diagnostiquent un trouble de la personnalité borderline avec traits dyssociaux (F 60.20) chez le recourant, alors que le Dr S__________ a retenu un trouble de la personnalité sans précision (F 60.9). Eu égard à ces contradictions, l’expertise du Dr S__________ s’avère insuffisante pour déterminer si des mesures d’ordre professionnel sont indiquées en l’espèce. En effet, compte tenu des difficultés rapportées par l’éducatrice au Dr S__________ – que ce dernier ne remet pas en cause et considère avérées au vu de l’anamnèse du recourant – ainsi que de la différence entre les diagnostics du Dr S__________ et des experts pénaux, l’éventuelle incidence des atteintes psychiques du recourant sur sa capacité de travail n’est pas établie de manière suffisamment claire. Partant, la cause sera renvoyée à l’intimée pour instruction complémentaire et nouvelle décision.</w:t>
      </w:r>
    </w:p>
    <w:p>
      <w:r>
        <w:rPr>
          <w:b/>
        </w:rPr>
        <w:t>E. 9</w:t>
      </w:r>
    </w:p>
    <w:p>
      <w:r>
        <w:t>Eu égard à ce qui précède, le recours est partiellement admis. Le recourant a droit à des dépens, qu’il convient de fixer à 750 fr. La procédure de recours en matière de contestations portant sur l’octroi ou le refus de prestations de l’assurance-invalidité n'est pas gratuite (art. 69 al. 1bis LAI). L’intimé, qui succombe, supporte l’émolument de 500 fr.</w:t>
      </w:r>
    </w:p>
    <w:p>
      <w:r>
        <w:t>A/690/2013 - 17/17 -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