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ATAS/1120/2012 vom 13. September 2012</w:t>
      </w:r>
    </w:p>
    <w:p>
      <w:r>
        <w:t>GE Cour de justice, 2012-09-13, FR</w:t>
      </w:r>
    </w:p>
    <w:p>
      <w:r>
        <w:rPr>
          <w:b/>
        </w:rPr>
        <w:t xml:space="preserve">Quelle: </w:t>
      </w:r>
      <w:r>
        <w:t>https://mcp.opencaselaw.ch/entscheid/ge_gerichte_ATAS_1120_2012</w:t>
      </w:r>
    </w:p>
    <w:p>
      <w:r>
        <w:t>FR: GE_GERICHTE ATAS/1120/2012 du 13 septembre 2012</w:t>
      </w:r>
    </w:p>
    <w:p>
      <w:r>
        <w:t>IT: GE_GERICHTE ATAS/1120/2012 del 13 settembre 2012</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 Que sa compétence pour juger du cas d’espèce est ainsi établie ; Que la LPGA, entrée en vigueur le 1er janvier 2003, est applicable au présent litige; Qu'il convient de considérer l'acte du 25 mai 2012 comme un recours pour déni de justice au sens de l'art. 56 al. 2 LPGA, lequel prévoit qu'un recours peut être formé lorsque l'assureur, malgré la demande de l'intéressé, ne rend pas de décision ou de décision sur opposition; Que l'art. 29 al. 1 Cst.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w:t>
      </w:r>
    </w:p>
    <w:p>
      <w:r>
        <w:t>A/1663/2012 - 4/6 - Qu'il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Qu’en l’espèce, force est de constater que la recourante n’a produit à l’appui de sa demande d’affiliation aucun élément susceptible de permettre à l’intimée de qualifier le type d’activité qu’elle exerce et ce, malgré de réitérées demandes ; Que dans ces conditions, le fait qu’une décision ne soit pas encore intervenue depuis décembre 2011 n’apparaît pas critiquable;</w:t>
      </w:r>
    </w:p>
    <w:p>
      <w:r>
        <w:t>A/1663/2012 - 5/6 - Qu'on ne saurait dès lors reprocher le moindre retard à l'intimée puisque cette dernière n’était pas en état de pouvoir statuer; Que le recours devra donc être rejeté; Que la recourante est invitée à faire parvenir à l’intimée les documents réclamés (carte AVS, carte d’identité, contrats de travail des employés, contrats de gérance, contrat de bail du commerce dont elle est propriétaire avec son époux, etc.) le plus rapidement possible à l’intimée afin que cette dernière puisse se déterminer.</w:t>
      </w:r>
    </w:p>
    <w:p>
      <w:r>
        <w:t>A/1663/2012 - 6/6 -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