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ATAS/111/2025 vom 20. Februar 2025</w:t>
      </w:r>
    </w:p>
    <w:p>
      <w:r>
        <w:t>GE Cour de justice, 2025-02-20, FR</w:t>
      </w:r>
    </w:p>
    <w:p>
      <w:r>
        <w:rPr>
          <w:b/>
        </w:rPr>
        <w:t xml:space="preserve">Quelle: </w:t>
      </w:r>
      <w:r>
        <w:t>https://mcp.opencaselaw.ch/entscheid/ge_gerichte_ATAS_111_2025</w:t>
      </w:r>
    </w:p>
    <w:p>
      <w:r>
        <w:t>FR: GE_GERICHTE ATAS/111/2025 du 20 février 2025</w:t>
      </w:r>
    </w:p>
    <w:p>
      <w:r>
        <w:t>IT: GE_GERICHTE ATAS/111/2025 del 20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du recourant aux prestations de l’intimée au-delà du 21 mai 2024.</w:t>
      </w:r>
    </w:p>
    <w:p>
      <w:r>
        <w:rPr>
          <w:b/>
        </w:rPr>
        <w:t>E. 3.1</w:t>
      </w:r>
    </w:p>
    <w:p>
      <w:r>
        <w:t>Selon l'art. 6 al. 1 LAA, les prestations d'assurance sont allouées en cas d'accident professionnel, d'accident non professionnel et de maladie professionnelle. Par accident, on entend toute atteinte dommageable, soudaine et</w:t>
      </w:r>
    </w:p>
    <w:p>
      <w:r>
        <w:t>A/4213/2024 - 4/13 -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 vertu de l'art. 36 al. 1 LAA, les prestations pour soins, les remboursements de frais ainsi que les indemnités journalières et les allocations pour impotent ne</w:t>
      </w:r>
    </w:p>
    <w:p>
      <w:r>
        <w:t>A/4213/2024 - 5/13 -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A/4213/2024 - 6/13 -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w:t>
      </w:r>
    </w:p>
    <w:p>
      <w:r>
        <w:t>A/4213/2024 - 7/13 -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3.3.5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w:t>
      </w:r>
    </w:p>
    <w:p>
      <w:r>
        <w:t>A/4213/2024 - 8/13 -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w:t>
      </w:r>
    </w:p>
    <w:p>
      <w:r>
        <w:t>A/4213/2024 - 9/13 - une expertise lorsqu'il apparaît nécessaire de clarifier les aspects médicaux du cas (ATF 117 V 283 consid. 4a ; RAMA 1985 p. 240 consid. 4 ; arrêt du Tribunal fédéral des assurances I 751/03 du 19 mars 2004 consid. 3.3).</w:t>
      </w:r>
    </w:p>
    <w:p>
      <w:r>
        <w:rPr>
          <w:b/>
        </w:rPr>
        <w:t>E. 3.7</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de100 %) ?</w:t>
      </w:r>
    </w:p>
    <w:p>
      <w:r>
        <w:rPr>
          <w:b/>
        </w:rPr>
        <w:t>E. 5.1.1</w:t>
      </w:r>
    </w:p>
    <w:p>
      <w:r>
        <w:t>Veuillez motiver votre réponse pour chaque diagnostic posé</w:t>
      </w:r>
    </w:p>
    <w:p>
      <w:r>
        <w:rPr>
          <w:b/>
        </w:rPr>
        <w:t>E. 5.1.2</w:t>
      </w:r>
    </w:p>
    <w:p>
      <w:r>
        <w:t>Le statu quo ante a-t-il été atteint (moment où l’état de santé de la personne expertisée est similaire à celui qui existait immédiatement avant l’accident) ? Si oui, à partir de quel moment ?</w:t>
      </w:r>
    </w:p>
    <w:p>
      <w:r>
        <w:rPr>
          <w:b/>
        </w:rPr>
        <w:t>E. 5.1.3</w:t>
      </w:r>
    </w:p>
    <w:p>
      <w:r>
        <w:t>Veuillez indiquer la date du statu quo ante pour chaque diagnostic posé</w:t>
      </w:r>
    </w:p>
    <w:p>
      <w:r>
        <w:t>A/4213/2024 - 12/13 -</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t>A/4213/2024 - 13/13 -</w:t>
      </w:r>
    </w:p>
    <w:p>
      <w:r>
        <w:rPr>
          <w:b/>
        </w:rPr>
        <w:t>E. 8.5</w:t>
      </w:r>
    </w:p>
    <w:p>
      <w:r>
        <w:t>Une intervention chirurgicale en lien avec l’accident serait-elle nécessaire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E. Invite l’expert à déposer son rapport en trois exemplaires dans les meilleurs délais auprès de la chambre de céans. F. Réserve le fond ainsi que le sort des frais jusqu’à droit jugé au fond.</w:t>
      </w:r>
    </w:p>
    <w:p>
      <w:r>
        <w:t>La greffière</w:t>
      </w:r>
    </w:p>
    <w:p>
      <w:r>
        <w:t>Adriana MALANGA</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