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ATAS/111/2019 vom 13. Februar 2018</w:t>
      </w:r>
    </w:p>
    <w:p>
      <w:r>
        <w:t>GE Cour de justice, 2018-02-13, FR</w:t>
      </w:r>
    </w:p>
    <w:p>
      <w:r>
        <w:rPr>
          <w:b/>
        </w:rPr>
        <w:t xml:space="preserve">Quelle: </w:t>
      </w:r>
      <w:r>
        <w:t>https://mcp.opencaselaw.ch/entscheid/ge_gerichte_ATAS_111_2019</w:t>
      </w:r>
    </w:p>
    <w:p>
      <w:r>
        <w:t>FR: GE_GERICHTE ATAS/111/2019 du 13 février 2018</w:t>
      </w:r>
    </w:p>
    <w:p>
      <w:r>
        <w:t>IT: GE_GERICHTE ATAS/111/2019 del 13 febbraio 2018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A/334/2019 ATAS/111/2019 COUR DE JUSTICE Chambre des assurances sociales Arrêt du 13 février 2018 4ème Chambre</w:t>
      </w:r>
    </w:p>
    <w:p>
      <w:r>
        <w:t>En la cause Madame A______, domiciliée à GENÈVE, comparant avec élection de domicile en l'étude de Maître Sarah BRAUNSCHMIDT SCHEIDEGGER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A/334/2019 - 2/3 -</w:t>
      </w:r>
    </w:p>
    <w:p>
      <w:r>
        <w:t>A/334/2019 - 3/3 - Vu la décision sur opposition du 13 décembre 2018 du service des prestations complémentaires ; Vu le recours interjeté le 28 janvier 2019 par Madame A______, par l’intermédiaire de son conseil ; Attendu que par courrier du 5 février 2019, le conseil de la recourante a indiqué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