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ATAS/111/2012 vom 7. Februar 2012</w:t>
      </w:r>
    </w:p>
    <w:p>
      <w:r>
        <w:t>GE Cour de justice, 2012-02-07, FR</w:t>
      </w:r>
    </w:p>
    <w:p>
      <w:r>
        <w:rPr>
          <w:b/>
        </w:rPr>
        <w:t xml:space="preserve">Quelle: </w:t>
      </w:r>
      <w:r>
        <w:t>https://mcp.opencaselaw.ch/entscheid/ge_gerichte_ATAS_111_2012</w:t>
      </w:r>
    </w:p>
    <w:p>
      <w:r>
        <w:t>FR: GE_GERICHTE ATAS/111/2012 du 7 février 2012</w:t>
      </w:r>
    </w:p>
    <w:p>
      <w:r>
        <w:t>IT: GE_GERICHTE ATAS/111/2012 del 7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Ordonne la reprise de l’instruction de la procédure. Cela fait :</w:t>
      </w:r>
    </w:p>
    <w:p>
      <w:r>
        <w:rPr>
          <w:b/>
        </w:rPr>
        <w:t>E. 2</w:t>
      </w:r>
    </w:p>
    <w:p>
      <w:r>
        <w:t>Prend acte du retrait de la demande.</w:t>
      </w:r>
    </w:p>
    <w:p>
      <w:r>
        <w:rPr>
          <w:b/>
        </w:rPr>
        <w:t>E. 3</w:t>
      </w:r>
    </w:p>
    <w:p>
      <w:r>
        <w:t>Met les frais du Tribunal d’un montant de 100 fr. et un émolument de 100 fr. à la charge des parties, à raison de la moitié chacune.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