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ATAS/1118/2019 vom 21. November 2019</w:t>
      </w:r>
    </w:p>
    <w:p>
      <w:r>
        <w:t>GE Cour de justice, 2019-11-21, FR</w:t>
      </w:r>
    </w:p>
    <w:p>
      <w:r>
        <w:rPr>
          <w:b/>
        </w:rPr>
        <w:t xml:space="preserve">Quelle: </w:t>
      </w:r>
      <w:r>
        <w:t>https://mcp.opencaselaw.ch/entscheid/ge_gerichte_ATAS_1118_2019</w:t>
      </w:r>
    </w:p>
    <w:p>
      <w:r>
        <w:t>FR: GE_GERICHTE ATAS/1118/2019 du 21 novembre 2019</w:t>
      </w:r>
    </w:p>
    <w:p>
      <w:r>
        <w:t>IT: GE_GERICHTE ATAS/1118/2019 del 21 novembre 2019</w:t>
      </w:r>
    </w:p>
    <w:p>
      <w:pPr>
        <w:pStyle w:val="Heading2"/>
      </w:pPr>
      <w:r>
        <w:t>Erwägungen</w:t>
      </w:r>
    </w:p>
    <w:p>
      <w:r>
        <w:rPr>
          <w:b/>
        </w:rPr>
        <w:t>E. 19</w:t>
      </w:r>
    </w:p>
    <w:p>
      <w:r>
        <w:t>Par décision du 5 novembre 2015, l’OAI a une nouvelle fois nié à l’assurée le droit à une rente, après qu’ont été versés au dossier, notamment : - un rapport de bilan socioprofessionnel établi le 30 septembre 2014 par INTÉGRATION POUR TOUS (IPT) relevant qu’aux limitations dues à l’état de santé de l’intéressée, s’ajoutaient celles liées à sa situation personnelle, à des difficultés d’insertion et à la gestion de sa fille, rentière AI : l’assurée ne pouvait quitter son domicile avant le départ de sa fille pour les ateliers d’occupation (à 8 h. 15), de sorte qu’une prise de poste n’était pas envisageable avant 9 h. le matin ; de même, le soir, elle devait être de retour chez elle à 17 h. au plus tard pour accueillir sa fille ; l’assurée s’enfermait dans les contraintes imposées par sa fille et la prise en charge de cette dernière ; son dévouement était certes exemplaire, mais limitait, voire empêchait toute possibilité ou opportunité professionnelle ; - un avis émis le 29 mai 2015 par le docteur I______, du SMR, rappelant que l’assurée avait terminé, fin juillet 2013, un reclassement en tant qu’assistante administrative, considérant qu’aucun élément médical nouveau n’avait été mis en évidence, en particulier aucune aggravation de l’état de santé de l’assurée depuis lors et que les conclusions émises en mars 2012 restaient donc valables.</w:t>
      </w:r>
    </w:p>
    <w:p>
      <w:r>
        <w:rPr>
          <w:b/>
        </w:rPr>
        <w:t>E. 20</w:t>
      </w:r>
    </w:p>
    <w:p>
      <w:r>
        <w:t>Saisie une nouvelle fois d’un recours de l’assurée, la Cour de céans l’a partiellement admis par arrêt du 17 août 2016 (ATAS/639/2016). Constatant l’absence d’instruction sur le plan médical quant à l’évolution de l’état de santé de l’assurée depuis le dépôt de sa demande en 2012, au regard notamment de sa fibromyalgie et des conséquences de celle-ci sur sa capacité de travail résiduelle, la Cour a renvoyé la cause à l’OAI pour instruction complémentaire en application de la nouvelle jurisprudence.</w:t>
      </w:r>
    </w:p>
    <w:p>
      <w:r>
        <w:rPr>
          <w:b/>
        </w:rPr>
        <w:t>E. 21</w:t>
      </w:r>
    </w:p>
    <w:p>
      <w:r>
        <w:t>Sur proposition du SMR, une expertise bidisciplinaire rhumatologique et psychiatrique a été mise sur pied afin de déterminer « si le diagnostic de fibromyalgie [était] retenu au sens d’un trouble somatoforme douloureux persistant » (sic).</w:t>
      </w:r>
    </w:p>
    <w:p>
      <w:r>
        <w:rPr>
          <w:b/>
        </w:rPr>
        <w:t>E. 22</w:t>
      </w:r>
    </w:p>
    <w:p>
      <w:r>
        <w:t>Cette expertise a été confiée aux docteurs J______, spécialiste FMH en médecine interne et rhumatologie, et K______, spécialiste en psychiatrie et psychothérapie, lesquels ont rendu leur rapport en date du 28 novembre 2017. Au terme de leurs examens, les experts sont parvenus à la conclusion que l’atteinte à la santé était purement rhumatologique. Les experts se sont livrés à une anamnèse familiale, scolaire, professionnelle, à une description du contexte psychosocial et à un résumé des antécédents personnels avant de se faire le relais des plaintes de l’assurée sur le plan ostéo-articulaire (douleurs à la face externe de la hanche droite, aux lombaires, aux cervicales, aux genoux et aux épaules, irradiant dans les bras avec crampes dans les doigts, surtout</w:t>
      </w:r>
    </w:p>
    <w:p>
      <w:r>
        <w:t>A/3051/2018 - 6/24 - à gauche, rachialgies, position assise limitée à une demi-heure, position debout statique limitée à 10 minutes, périmètre de marche limité à 20 minutes, fourmillements dans les doigts). L’anamnèse psychosociale fait état, notamment, de multiples abus sexuels rapportés par l’assurée, jusqu’à l’âge de 21 ou 22 ans, et de la maltraitance physique dont elle dit avoir été victime de la part de sa mère adoptive. Dans l’anamnèse psychiatrique, l’expert a indiqué ne pas retrouver d’éléments susceptibles d’évoquer une symptomatologie psychiatrique durant l’enfance ou l’adolescence. Il n’a pas noté non plus de tendance à la labilité des affects ou aux comportements à risque. Il n’a pas observé de symptomatologie dépressive caractérisée, bien que l’assurée ait traversé des périodes difficiles au cours desquelles elle a éprouvé une tristesse parfois importante et adaptée au contexte, sans incidence sur son élan vital, ses intérêts et plaisirs. Une prise en charge psychiatrique a été mentionnée en 2007, durant une année, dans le cadre de difficultés conjugales. L’assurée a indiqué avoir traversé une seconde période difficile en 2010, suite à sa séparation, sans pour autant que son élan vital et ses intérêts et plaisirs aient été amoindris ; cette période n’a d’ailleurs pas eu d’incidence significative sur sa vie professionnelle. L’expert psychiatre a noté que le Dr E______ avait mentionné, en septembre 2013, un syndrome dépressif chronique, mais sans étayer ce diagnostic par la moindre description clinique ; la médication indiquée semblait par ailleurs incohérente avec la pathologie attestée puisque le médicament prescrit, n’avait sur le plan psychiatrique qu’un effet anxiolytique et discrètement sédatif. En 2014, l’assurée avait consulté à deux reprises le Dr G______, puis à une occasion la psychologue déléguée, mais disait s’être aperçue qu’elle n’en ressentait pas le besoin. Depuis lors, elle n’avait bénéficié d’aucune prise en charge psychologique ou psychiatrique. Elle ne formulait par ailleurs aucune plainte spontanée sur ce plan. L’expert psychiatre n’ayant constaté ni difficultés d’attention ou de concentration, ni signe de tristesse apparente, ni perte d’élan vital intact, des intérêts ou du plaisir, ni péjoration de l’estime de soi, ni même de symptômes anxieux, il a conclu à l’absence d’atteinte psychique, relevant au demeurant que, sur le plan de fonctionnement, l’assurée avait fait preuve de combativité - voire parfois d’obstination - dans les situations difficiles, ce qui lui avait d’ailleurs permis de surmonter des pressions liées au travail ou à sa vie conjugale. Ont été également notées une bonne maîtrise des émotions, une sensibilité marquée et, de manière générale, une structure de la personnalité constituant plutôt une ressource pour l’assurée. Dès lors, n’ont été retenus comme diagnostics à titre principal que ceux correspondant à des atteintes physiques : une périarthrite scapulo-humérale bilatérale avec conflit sous-acromial et tendinopathie calcifiante des épaules,</w:t>
      </w:r>
    </w:p>
    <w:p>
      <w:r>
        <w:t>A/3051/2018 - 7/24 - associée à un syndrome rotulien bilatéral dans le cadre d’une chondropathie de grade II, une gonarthrose fémoro-tibiale interne débutante droite, des coxalgies droites dans le cadre d’un détachement du labrum antérieur et d’un status après tendinopathie du moyen fessier droit, et des cervicalgies et lombalgies dans le cadre de discrets troubles statiques du rachis. Ont été également mentionnés, en précisant qu’ils étaient sans répercussion sur la capacité de travail : une fibromyalgie, un excès pondéral, un discret status variqueux des membres inférieurs, un status après cure de tunnel carpien gauche, un status après neurolyse du nerf cubital gauche au coude, un status après ténotomie des fléchisseurs du pouce gauche, un status après césarienne, un tabagisme, un status après excision de deux lipomes de la paroi abdominale, des hémangiomes hépatiques, une gastropathie avec hernie hiatale et antécédents d’ulcères gastriques, une probable colopathie fonctionnelle et un psoriasis cutané. Sur le plan ostéoarticulaire, à l’examen, l’expert a noté un bon état général, une déambulation normale, sans boiterie, un accroupissement légèrement limité, de discrets troubles statiques du rachis et une mobilité lombaire diminuée, étant précisé toutefois que trois signes de non-organicité selon Waddell avaient été observés, ainsi qu’une importante discordance entre la distance doigts/sol et doigts/orteils sur le lit d’examen. La mobilité cervicale était également limitée, mais la mobilité des articulations périphériques bien conservée ; seule l’élévation active des épaules était limitée, contrairement à l’élévation passive. Aucun signe plaidant pour une arthropathie inflammatoire périphérique n’a été observé ; en revanche, 15 points typiques de la fibromyalgie sur 18 se sont révélés sensibles à la palpation. En définitive, l’expert a confirmé que, dans les activités précédentes de caissière- vendeuse et d’accompagnante à domicile, la capacité de travail était nulle. Il a été noté que, malgré ses douleurs, l’assurée conservait une bonne intégration sociale. Elle s’acquittait de son ménage, bien que difficilement, et bénéficiait d’aide sur ce plan. Certains « motifs d’exclusion » ont été relevés : trois signes de non-organicité selon Waddell sur cinq, une attitude incohérente et démonstrative à la palpation des points de Smythe ; l’assurée semblait bien s’occuper de sa fille aînée, souffrant d’un déficit intellectuel, mais se montrait en revanche passive dans la recherche d’une activité professionnelle ; elle continuait à avoir des loisirs, à nager et à être intégrée socialement. La thérapie avait été conduite dans les règles de l’art. En revanche, il a estimé que, dans une activité strictement adaptée aux limitations fonctionnelles requises par la pathologie ostéo-articulaire, la capacité de travail atteignait 80% depuis 2012. Ont été retenus à titre de limitations fonctionnelles rhumatologiques : l’absence d’élévation ou d’abduction des épaules à plus de 70°, l’absence de port de charges de plus de 5 kg, les mouvements répétitifs des épaules, les génuflexions répétées, le travail en hauteur, le franchissement régulier</w:t>
      </w:r>
    </w:p>
    <w:p>
      <w:r>
        <w:t>A/3051/2018 - 8/24 - d’escaliers, la marche en terrain irrégulier, la position debout statique, la marche au-delà d’une demi-heure, la nécessité de pouvoir alterner deux fois par heure positions assise et debout, l’absence de travail en porte-à-faux statique prolongé du tronc et le fait de devoir éviter les vibrations. La diminution de 20% se justifiait par les limitations fonctionnelles se surajoutant les unes aux autres et justifiant une baisse de rendement. L’absence de raisons biomécanique ne justifiait pas de baisse de rendement supérieure. À ce propos, il a été noté que la tolérance à la position assise avait été relativement bonne en cours d’entretien.</w:t>
      </w:r>
    </w:p>
    <w:p>
      <w:r>
        <w:rPr>
          <w:b/>
        </w:rPr>
        <w:t>E. 23</w:t>
      </w:r>
    </w:p>
    <w:p>
      <w:r>
        <w:t>Le 19 janvier 2018, l’OAI a adressé à l’assurée un projet de décision dont il ressortait qu’il se proposait de lui nier le droit à toute prestation. L’OAI expliquait qu’à l’issue du complément d’instruction médicale, le SMR reconnaissait une incapacité de travail de 100% dans les activités habituelles depuis novembre 2005, mais considérait que l’assurée avait conservé une capacité de travail de 100% dans une activité adaptée depuis novembre 2005, réduite à 80% depuis 2012.</w:t>
      </w:r>
    </w:p>
    <w:p>
      <w:r>
        <w:rPr>
          <w:b/>
        </w:rPr>
        <w:t>E. 24</w:t>
      </w:r>
    </w:p>
    <w:p>
      <w:r>
        <w:t>Le 24 janvier 2018, le conseil de l’assurée s’est étonné de ce projet en relevant que celui-ci ne comportait aucune comparaison des revenus.</w:t>
      </w:r>
    </w:p>
    <w:p>
      <w:r>
        <w:rPr>
          <w:b/>
        </w:rPr>
        <w:t>E. 25</w:t>
      </w:r>
    </w:p>
    <w:p>
      <w:r>
        <w:t>Par courrier du 15 février 2018, l’OAI a confirmé qu’il s’agissait bien là de l’intégralité de son projet de décision.</w:t>
      </w:r>
    </w:p>
    <w:p>
      <w:r>
        <w:rPr>
          <w:b/>
        </w:rPr>
        <w:t>E. 26</w:t>
      </w:r>
    </w:p>
    <w:p>
      <w:r>
        <w:t>Le 20 février 2018, l’assurée s’y est opposée en reprochant à l’OAI de n’avoir pas défini la valeur de sa formation d’assistante administrative, pas plus que le revenu que celle-ci pourrait lui permettre d’obtenir. Elle s’est également plainte de l’absence d’explications quant au détail du calcul du degré d’invalidité (revenu hypothétique, activité adaptée, etc.).</w:t>
      </w:r>
    </w:p>
    <w:p>
      <w:r>
        <w:rPr>
          <w:b/>
        </w:rPr>
        <w:t>E. 27</w:t>
      </w:r>
    </w:p>
    <w:p>
      <w:r>
        <w:t>Dans un document du 4 juillet 2018, le Service de réadaptation de l’OAI s’est livré à un calcul du degré d’invalidité, qu’il a établi à 30,2% après comparaison du revenu avant invalidité, fixé à CHF 55'893.- (revenu réalisé par l’assurée en tant que caissière-vendeuse en 2010 selon informations de son employeur [54'809.-] réactualisé pour 2012), à celui qu’elle aurait pu obtenir la même année en exerçant une activité adaptée, soit CHF 39'038.- (Enquête suisse sur la structure des salaires [ESS] 2010, TA7, niveau 4 = 4'250.- CHF/mois pour 40 h./sem. = 4'431.- CHF/mois pour 41,7 h./sem. = CHF 53'168.- en 2010 = CHF 54'219.- en 2012 = CHF 48'375.- à 80% + réduction supplémentaire de 10%). S’agissant plus particulièrement du revenu après invalidité, l’OAI a indiqué s’être basé sur l’ESS, plus particulièrement sur le secteur des services.</w:t>
      </w:r>
    </w:p>
    <w:p>
      <w:r>
        <w:rPr>
          <w:b/>
        </w:rPr>
        <w:t>E. 28</w:t>
      </w:r>
    </w:p>
    <w:p>
      <w:r>
        <w:t>Par décision du 6 juillet 2018, l’OAI a nié à l’assurée le droit à toute prestation. Il a considéré que, si elle était effectivement totalement incapable d’exercer les activités de caissière-vendeuse ou d’accompagnante à domicile depuis le 23 novembre 2005, l’assurée avait conservé la capacité d’exercer une activité adaptée à 100% depuis le 23 novembre 2005, à 80% depuis janvier 2012.</w:t>
      </w:r>
    </w:p>
    <w:p>
      <w:r>
        <w:t>A/3051/2018 - 9/24 - À l’issue du délai d’attente d’une année, en 2016, il n’y avait donc pas de perte de gain. L’assurée pouvait en effet travailler en tant qu’assistante-administrative, formation dans laquelle elle avait pu bénéficier d’un reclassement. Dès lors, l’OAI a comparé le revenu qu’aurait réalisé l’assurée sans invalidité en 2012, soit CHF 55'893.-, à celui qu’elle aurait pu obtenir la même année malgré l’atteinte à sa santé, soit CHF 39'038.- (selon l’Enquête suisse sur la structure des salaires [ESS] 2010, TA7, niveau 4, avec une réduction supplémentaire de 10% pour tenir compte des limitations fonctionnelles et des années de service). Le degré d’invalidité résultant de cette comparaison était de 30%, c’est-à-dire insuffisant pour ouvrir droit à une rente.</w:t>
      </w:r>
    </w:p>
    <w:p>
      <w:r>
        <w:rPr>
          <w:b/>
        </w:rPr>
        <w:t>E. 29</w:t>
      </w:r>
    </w:p>
    <w:p>
      <w:r>
        <w:t>Par écriture du 7 septembre 2018, l’assurée a interjeté recours contre cette décision en concluant à l’octroi d’une rente, sans en préciser la quotité. En premier lieu, elle soutient que le projet que lui a fait parvenir l’OAI n’était pas suffisamment motivé et en tire la conclusion que son droit d’être entendue aurait été violé. En substance, l’assurée conteste pouvoir exercer en tant qu’assistante administrative et reproche à l’intimé de « ne pas définir la valeur de cette formation ni le revenu qu’elle aurait pu obtenir ». En outre, elle invoque des insomnies chroniques des douleurs diffuses.</w:t>
      </w:r>
    </w:p>
    <w:p>
      <w:r>
        <w:rPr>
          <w:b/>
        </w:rPr>
        <w:t>E. 30</w:t>
      </w:r>
    </w:p>
    <w:p>
      <w:r>
        <w:t>Invité à se déterminer, l’intimé, dans sa réponse du 13 novembre 2018, a conclu au rejet du recours. L’intimé fait remarquer que, suite au dernier arrêt de la Cour, l’assurée a été soumise à un examen rhumatologique et psychiatrique dont il estime que les conclusions doivent se voir reconnaître pleine valeur probante, d’autant que celle-ci n’apparait pas contestée. Or, il ressort du rapport du SMR que l’assurée est capable d’exercer une activité adaptée à 100% depuis novembre 2005, à 80% depuis 2012 et ce, en raison de ses problèmes rhumatologiques uniquement. En effet, après analyse des indicateurs topiques, le SMR a exclu tout caractère incapacitant à l’atteinte psychiatrique.</w:t>
      </w:r>
    </w:p>
    <w:p>
      <w:r>
        <w:rPr>
          <w:b/>
        </w:rPr>
        <w:t>E. 31</w:t>
      </w:r>
    </w:p>
    <w:p>
      <w:r>
        <w:t>Dans sa réplique du 17 décembre 2018, l’assurée a persisté dans ses conclusions. Elle persiste à affirmer que l’activité d’assistante administrative ne saurait être retenue à titre d’activité adaptée. Pour le surplus, elle répète que le projet de décision qui lui a été adressé était insuffisamment motivé puisqu’il n’indiquait ni le revenu hypothétique retenu, ni l’activité adaptée envisagée, pas plus que les motifs pour lesquels l’OAI avait conclu à une capacité de travail de 100% en 2005 et de 80% en 2012. Elle en tire la conclusion que la « notification » de ce projet était « irrégulière ».</w:t>
      </w:r>
    </w:p>
    <w:p>
      <w:r>
        <w:t>A/3051/2018 - 10/24 - Elle évoque à nouveau des insomnies chroniques et des douleurs diffuses et continue à contester la valeur du diplôme d’assistante administrative qui lui a été délivré. Selon elle, l’intimé « substituerait sa réalité subjective à l’état des faits réel » et aurait manqué à son devoir d’instruction.</w:t>
      </w:r>
    </w:p>
    <w:p>
      <w:r>
        <w:rPr>
          <w:b/>
        </w:rPr>
        <w:t>E. 32</w:t>
      </w:r>
    </w:p>
    <w:p>
      <w:r>
        <w:t>Dans sa duplique du 15 janvier 2019, l’intimé a persisté dans ses conclusions. L’intimé rappelle que l’assurée a été mise au bénéfice d’une mesure de reclassement professionnel en 2012, mesure consistant en une formation d’assistante administrative qu’elle a terminée avec succès en 2013, obtenant un certificat le 1er juillet 2013 de l’école F______. Bien que l’assurée conteste pouvoir exercer une telle activité en arguant que son état de santé l’a empêchée de suivre le cours de dactylographie, il ressort pourtant du rapport d’examen rhumatologique et psychiatrique du SMR qu’elle a conservé une pleine capacité de travail dans une activité adaptée depuis 2005, réduite à 80% depuis 2012. Les limitations fonctionnelles touchent les épaules, le rachis et les genoux et ne sauraient dès lors justifier une incapacité à suivre les cours de dactylographie. L’activité d’assistante administrative à 80% est adaptée à l’état de santé de la recourante. L’intimé explique pour le surplus s’être basé sur les différents secteurs d’activité dans lesquels l’assurée serait en mesure de mettre en valeur une capacité résiduelle de travail et avoir appliqué une réduction de 10% supplémentaire pour tenir compte des limitations fonctionnelles et des années de service. Enfin, il rappelle que tout obstacle à une réintégration professionnelle qui ne serait pas la conséquence de l’atteinte à la santé n’a pas à être pris en compte par l’assurance-invalidité.</w:t>
      </w:r>
    </w:p>
    <w:p>
      <w:r>
        <w:rPr>
          <w:b/>
        </w:rPr>
        <w:t>E. 33</w:t>
      </w:r>
    </w:p>
    <w:p>
      <w:r>
        <w:t>Une audience de comparution personnelle s’est tenue en date du 26 septembre 2019, au cours de laquelle la recourante a affirmé sa conviction d’être incapable d’exercer quelque activité que ce soit. Selon elle, son état ne lui permet pas de travailler comme assistante administrative. Elle adore la dactylographie, tout comme la couture et le dessin, mais ces activités lui sont désormais interdites : après quelques minutes seulement, des crampes surviennent dans ses mains. Le ménage lui est également difficile, mais, heureusement, elle bénéficie, pour sa fille handicapée, d’une aide-ménagère à raison d'une heure et demie par semaine. La recourante a indiqué contester en ce sens l'évaluation de la capacité de travail à laquelle s'est livrée le SMR, mais n’avoir en revanche aucun grief à faire valoir quant aux diagnostics ou limitations fonctionnelles retenus. Selon elle, le SMR a sous-évalué les conséquences de ses problèmes de santé sur sa capacité de travail.</w:t>
      </w:r>
    </w:p>
    <w:p>
      <w:r>
        <w:t>A/3051/2018 - 11/24 - Pour le reste, la recourante a critiqué la qualité de la formation qui lui a été dispensée, dont elle estime qu’elle ne lui permet pas de se considérer comme une secrétaire. Selon elle, les abus sexuels dont elle a été victime tout au long de son existence sont à l'origine de son état actuel. À l’appui de sa position, la recourante a produit, notamment : - un rapport d’imagerie par résonance magnétique (IRM) de la hanche droite du 28 septembre 2015 concluant à un aspect compatible avec un détachement du labrum antérieur s’étendant à la limite avec le labrum antéro-supérieur et à de discrets signes de tendinopathie insertionnelle du moyen fessier ; - un rapport de gastroscopie du 25 juin 2019 concluant à une hernie hiatale de 1 cm avec un ulcère linéaire dans le bas de l’œsophage au-dessus du hiatus ; - un rapport de consultation de dermatologie des HUG du 24 juillet 2019 constatant l’existence de lésions cutanées compatibles avec un psoriasis, peu étendues et ne justifiant pas un traitement systémique, mais un simple traitement par crème kératolitique ; - un certificat établi par le Dr E______ le 23 septembre 2019 concluant à une hernie hiatale avec ulcère linéaire, à une gastroscopie du 25 juin 2019, à des nodules de la tyroïde en évolution, à un psoriasis et à une fibromyalgie.</w:t>
      </w:r>
    </w:p>
    <w:p>
      <w:r>
        <w:rPr>
          <w:b/>
        </w:rPr>
        <w:t>E. 34</w:t>
      </w:r>
    </w:p>
    <w:p>
      <w:r>
        <w:t>À l’issue de l’audience, la cause a été gardée à juger.</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A/3051/2018 - 12/24 - 3.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Interjeté dans les forme et délai prévus par la loi, le recours est recevable (art. 56ss LPGA et 62ss de la loi sur la procédure administrative du 12 septembre 1985 (LPA-GE - E 5 10)). 5. Le litige porte sur la question de savoir si l'état de santé de l'assurée s'est aggravé depuis la décision initiale du 3 septembre 2007 au point de lui ouvrir droit à des prestations sous forme de rente d’invalidité. 6. Dans un moyen de nature formelle qu’il convient d’examiner en premier, la recourante invoque une violation de son droit d’être entendue au motif que le projet de décision du 19 janvier 2018 était insuffisamment motivé s’agissant du calcul du degré d’invalidité.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w:t>
      </w:r>
    </w:p>
    <w:p>
      <w:r>
        <w:t>A/3051/2018 - 13/24 -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 ATAS/1081/2013 du 6 novembre 2013 consid. 4c ; ATA/304/2013 du 14 mai 2013 consid. 4c ; ATA/126/2013 du 26 février 2013). d. En l’occurrence, s’il apparaît que le projet de décision ne mentionnait pas le détail du calcul du degré d’invalidité, la décision formelle rendue le 6 juillet 2018 y a remédié. Qui plus est, la recourante a pu avoir accès à son dossier administratif complet et prendre connaissance du document intitulé « détermination du degré d’invalidité », lequel mentionne tous les éléments retenus pour fixer le salaire avec invalidité, en particulier la référence à l’ESS, à l’année et au tableau pris en considération, le salaire mensuel ainsi défini, son annualisation et son indexation, ainsi que le taux d’abattement. La recourante a ainsi eu l’occasion, dans la présente procédure, de présenter librement ses objections - concernant en particulier la méthode d’évaluation de l’invalidité et le calcul opéré par l’intimé - devant la Cour de céans, laquelle dispose d’un pouvoir d’examen identique à celui de l’intimé. En conclusion, la violation du droit d’être entendu dont se prévaut la recourante peut être considérée comme réparée dans le cadre de l’examen du recours. 7. Il convient à présent d’examiner le droit de la recourante à une rente d’invalidité.</w:t>
      </w:r>
    </w:p>
    <w:p>
      <w:r>
        <w:t>A/3051/2018 - 14/24 -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8.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w:t>
      </w:r>
    </w:p>
    <w:p>
      <w:r>
        <w:t>A/3051/2018 - 15/24 -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9.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Seules les conséquences de l’atteinte à la santé sont prises en compte pour juger de la présence d’une incapacité de gain. De plus, il n’y a incapacité de gain que si l’atteinte n’est pas objectivement surmontable (al. 2 en vigueur depuis le 1er janvier 2008). Est réputée invalidité l’incapacité de gain totale ou partielle présumée permanente ou de longue durée (art. 8 al. 1 LPGA et 4 al. 1 LAI). 10.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w:t>
      </w:r>
    </w:p>
    <w:p>
      <w:r>
        <w:t>A/3051/2018 - 16/24 -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11.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A/3051/2018 - 17/24 - décider si les documents à disposition permettent de porter un jugement valable sur le droit litigieux.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A/3051/2018 - 18/24 - ces avis et il y a lieu de mettre en œuvre une expertise par un médecin indépendant selon la procédure de l'art. 44 LPGA ou une expertise judiciaire (ATF 135 V 465 consid. 4.6; arrêt du Tribunal fédéral 9C_301/2013 du 4 septembre 2013 consid. 3).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Il y a lieu de souligner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On ajoutera, s’agissant des facteurs psychosociaux ou socioculturels et de leur rôle en matière d'invalidité, qu’ils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w:t>
      </w:r>
    </w:p>
    <w:p>
      <w:r>
        <w:t>A/3051/2018 - 19/24 -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14.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b. Selon ces principes,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w:t>
      </w:r>
    </w:p>
    <w:p>
      <w:r>
        <w:t>A/3051/2018 - 20/24 -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w:t>
      </w:r>
    </w:p>
    <w:p>
      <w:r>
        <w:t>A/3051/2018 - 21/24 - 15.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16. En l’espèce, il n’est pas contesté qu’une aggravation de l’état de santé de la recourante est survenue depuis qu’a été rejetée sa première demande de prestations, le 3 septembre 2007. Les diagnostics et limitations fonctionnelles ne sont pas non plus contestés en tant que tels (cf. audience de comparution personnelle). La recourante soutient en revanche être désormais dans l’incapacité d’exercer la moindre activité lucrative, en particulier celle d’assistante administrative. L’intimé, pour sa part, la considère apte à exercer une activité adaptée aux limitations retenues à 80% depuis 2012. Dans la mesure où l’intimé fonde sa position sur le rapport des Drs J______ et K______, il convient d’examiner quelle valeur probante peut être reconnue à celui- ci. À titre liminaire, il convient de relever que ces praticiens, en tant que médecins du SMR, ont réalisé un examen sur la personne au sens de l’art. 49 al. 2 du règlement du 17 janvier 1961 sur l’assurance-invalidité du 17 janvier 1961 (RAI - RS 831.201). Leur rapport du 28 novembre 2017 ne constitue donc pas une expertise au sens de l’art. 44 LPGA. Cela ne signifie pas pour autant que la valeur probante dudit document doive être niée, mais simplement qu’elle doit être examinée conformément aux réquisits jurisprudentiels généraux. Force est de constater que le rapport précité remplit sur le plan formel toutes les exigences auxquelles la jurisprudence soumet la valeur probante d’un tel document. En effet, il contient le résumé du dossier, les indications subjectives de la recourante, des observations cliniques, ainsi qu’une discussion générale du cas. Sur le fond, les médecins du SMR ont écarté toute atteinte psychique et considéré que l’atteinte à la santé était purement rhumatologique. En effet, le psychiatre n’a retrouvé ni élément susceptible d’évoquer une symptomatologie psychiatrique durant l’enfance ou l’adolescence, ni tendance à la labilité des affects ou aux comportements à risque, ni symptomatologie dépressive caractérisée. Seul le Dr E______ a mentionné, en septembre 2013, un syndrome dépressif chronique, mais sans étayer ce diagnostic par la moindre description clinique. La recourante elle-même, après avoir débuté un suivi par une psychologue déléguée par le Dr</w:t>
      </w:r>
    </w:p>
    <w:p>
      <w:r>
        <w:t>A/3051/2018 - 22/24 - G______, y a mis un terme après une seule séance, constatant qu’elle n’en ressentait pas le besoin. Dès lors, n’ont été retenus comme diagnostics à titre principal que ceux correspondant à des atteintes physiques : une périarthrite scapulo-humérale bilatérale avec conflit sous-acromial et tendinopathie calcifiante des épaules, associée à un syndrome rotulien bilatéral dans le cadre d’une chondropathie de grade II, une gonarthrose fémoro-tibiale interne débutante droite, des coxalgies droites dans le cadre d’un détachement du labrum antérieur et d’un status après tendinopathie du moyen fessier droit, et des cervicalgies et lombalgies dans le cadre de discrets troubles statiques du rachis. En définitive, les experts ont confirmé que, dans les activités précédentes de caissière-vendeuse et d’accompagnante à domicile, la capacité de travail était nulle. Ils ont en revanche estimé que, dans une activité strictement adaptée aux limitations fonctionnelles requises par la pathologie ostéo-articulaire, la capacité de travail atteignait 80% depuis 2012. Ont été retenues à titre de limitations fonctionnelles rhumatologiques : l’absence d’élévation ou d’abduction des épaules à plus de 70°, l’absence de port de charges de plus de 5 kg, les mouvements répétitifs des épaules, les génuflexions répétées, le travail en hauteur, le franchissement régulier d’escaliers, la marche en terrain irrégulier, la position debout statique, la marche au-delà d’une demi-heure, la nécessité de pouvoir alterner deux fois par heure positions assise et debout, l’absence de travail en porte-à-faux statique prolongé du tronc et le fait de devoir éviter les vibrations. La diminution de 20% correspondait à la baisse de rendement induite par les limitations fonctionnelles se surajoutant les unes aux autres. Dans la mesure où les experts ont nié tout caractère incapacitant à la fibromyalgie, il est superflu d’examiner les indicateurs standards, d’autant que plusieurs motifs d’exclusion ont été relevés par les médecins du SMR.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la recourante ne soulève aucun grief de ce type. Au contraire, elle a clairement indiqué ne contester ni les diagnostics ni les limitations retenues mais seulement l’évaluation de sa capacité de travail et ce, sans autre argument que son sentiment de ne plus être en mesure d’exercer la moindre activité, quelle qu’elle soit, ce qui apparaît manifestement insuffisant pour jeter le doute sur les conclusions des médecins du SMR.</w:t>
      </w:r>
    </w:p>
    <w:p>
      <w:r>
        <w:t>A/3051/2018 - 23/24 - C’est dès lors à juste titre que, se fondant sur le rapport de ces derniers, l’intimé a retenu une capacité de travail de 80% dans une activité adaptée. Reste à vérifier le calcul du degré d’invalidité auquel il s’est livré. 17. En l’espèce, le Service de réadaptation de l’OAI s’est livré à un calcul du degré d’invalidité théorique, qu’il a établi à 30,2% après comparaison du revenu avant invalidité, fixé à CHF 55'893.- (réalisé par l’assurée en tant que caissière-vendeuse en 2010 selon informations de son employeur [54'809.-] réactualisé pour 2012), à celui qu’elle aurait pu obtenir la même année en exerçant une activité adaptée, soit CHF 39'038.- (ESS 2010, TA7, niveau 4 = 4'250.- CHF/mois pour 40 h./sem. = 4'431.- CHF/mois pour 41,7 h./sem. = CHF 53'168.- en 2010 = CHF 54'219.- en 2012 = CHF 48'375.- à 80%) après application d’une réduction supplémentaire de 10%. Le calcul de l’intimé n’apparaît pas critiquable, l’assurée ayant suivi en 2008-2009 un cours de commerce et de secrétariat, complété par un reclassement en tant qu’assistante administrative, lui permettant d’exercer une activité légère dans le secteur des services. C’est le lieu de rappeler qu’en cas d’absence de désignation précise par l’OAI des activités compatibles avec les limitations d’un assuré, le Tribunal fédéral a jugé qu’il convenait d'admettre que le marché du travail offrait un éventail suffisamment large d'activités légères, dont on doit convenir qu'un nombre significatif sont adaptées aux limitations d’un assuré et accessibles sans aucune formation particulière (arrêt du Tribunal fédéral 9C_279/2008 du 16 décembre 2008 consid. 4). 18. Au vu de ce qui précède, le recours est rejeté. Etant donné que depuis le 1er juillet 2006, la procédure n'est plus gratuite (art. 69 al. 1bis LAI), il y a lieu de condamner la recourante au paiement d'un émolument de CHF 200.-.</w:t>
      </w:r>
    </w:p>
    <w:p>
      <w:r>
        <w:t>A/3051/2018 - 24/24 -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