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ATAS/1116/2019 vom 2. Dezember 2019</w:t>
      </w:r>
    </w:p>
    <w:p>
      <w:r>
        <w:t>GE Cour de justice, 2019-12-02, FR</w:t>
      </w:r>
    </w:p>
    <w:p>
      <w:r>
        <w:rPr>
          <w:b/>
        </w:rPr>
        <w:t xml:space="preserve">Quelle: </w:t>
      </w:r>
      <w:r>
        <w:t>https://mcp.opencaselaw.ch/entscheid/ge_gerichte_ATAS_1116_2019</w:t>
      </w:r>
    </w:p>
    <w:p>
      <w:r>
        <w:t>FR: GE_GERICHTE ATAS/1116/2019 du 2 décembre 2019</w:t>
      </w:r>
    </w:p>
    <w:p>
      <w:r>
        <w:t>IT: GE_GERICHTE ATAS/1116/2019 del 2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A/424/2019 - 10/16 -</w:t>
      </w:r>
    </w:p>
    <w:p>
      <w:r>
        <w:rPr>
          <w:b/>
        </w:rPr>
        <w:t>E. 2</w:t>
      </w:r>
    </w:p>
    <w:p>
      <w:r>
        <w:t>Interjeté dans les délai et forme prescrits par la loi, le recours est recevable (art. 56 ss LPGA).</w:t>
      </w:r>
    </w:p>
    <w:p>
      <w:r>
        <w:rPr>
          <w:b/>
        </w:rPr>
        <w:t>E. 3</w:t>
      </w:r>
    </w:p>
    <w:p>
      <w:r>
        <w:t>Est litigieuse en l’occurrence la question de savoir si la recourante a droit à une allocation pour impotent et le cas échéant de quel degré.</w:t>
      </w:r>
    </w:p>
    <w:p>
      <w:r>
        <w:rPr>
          <w:b/>
        </w:rPr>
        <w:t>E. 4</w:t>
      </w:r>
    </w:p>
    <w:p>
      <w:r>
        <w:t>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t>A/424/2019 - 11/16 -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et RCC 1986 p. 507 ; ch. 8013 Circulaire sur l’invalidité et l’impotence dans l’assurance-invalidité établie par l’OFAS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w:t>
      </w:r>
    </w:p>
    <w:p>
      <w:r>
        <w:t>A/424/2019 - 12/16 - 4b; voir no 8020). La nécessité de surveillance doit être admise s'il s'avère que l'assuré, laissé sans surveillance, mettrait en danger de façon très probable soit lui- même soit des tiers (ch. 8035 CIIAI). e.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L’accompagnement est régulier lorsqu’il est nécessité en moyenne au moins deux heures par semaine sur une période de trois mois (ATF 133 V 450, consid. 9).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w:t>
      </w:r>
    </w:p>
    <w:p>
      <w:r>
        <w:t>A/424/2019 - 13/16 - doit être examinée que dans une seconde étape (arrêts 9C_425/2014 du 26 septembre 2014 consid. 4.2 et 9C_410/2009 du 1er avril 2010 consid. 5.1). Par ailleurs, dans le cadre de l'art. 38 al. 1 let. a RAI, l'accompagnement pour faire face aux nécessités de la vie doit permettre à la personne concernée de vivre de manière indépendante sans l'accompagnement d'une tierce personne, c'est-à-dire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arrêt 9C_425/2014 du 26 septembre 2014, consid. 4.1 ; arrêt du Tribunal fédéral 9C 539/2017 du 28 novembre 2017). Le droit à la rente et le droit à une allocation pour impotent peuvent être cumulées dans la mesure où la LAI ne l'empêche pas expressément (art. 43 al. 3 LAI en relation avec l'art. 63 al. 3 LPGA). Même si ces prestations ont trait, du moins en partie, à la tenue du ménage, elles ne couvrent déjà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voire d'autres activités (p. ex. éducation des enfants), soit l'empêchement en tant que tel. En revanche, l'allocation pour impotent vise le besoin concret de l'aide d'autrui pour réaliser certains actes (cf. arrêt 2P.25/2000 du 12 novembre 2002 consid. 14.3), dont le ménage (consid. 4 ; arrêt du Tribunal fédéral 9C 703/2018 du 30 janvier 2019).</w:t>
      </w:r>
    </w:p>
    <w:p>
      <w:r>
        <w:rPr>
          <w:b/>
        </w:rPr>
        <w:t>E. 5</w:t>
      </w:r>
    </w:p>
    <w:p>
      <w:r>
        <w:t>Concernant la valeur probante d’une enquête relative aux mesures médicales au domicile pour les soins nécessaires à cause de l'invalidité au sens de l'art. 14 LAI, le Tribunal fédéral a jugé qu’une enquête au domicile était le moyen adéquat pour déterminer l’assistance nécessaire, à condition que différents critères soient respectés. Ainsi, l’enquête doit avoir été effectuée par une personne spécialisée dans ce genre d’examen, en connaissance de la situation locale, des diagnostics posés par les médecins et des limitations fonctionnelles en résultant. L'enquête doit également avoir tenu compte des déclarations de l’assurée. En cas d’opinion divergente sur l’assistance nécessaire entre l’assurée et l’enquêtrice, cela doit être indiqué dans le rapport. Enfin, le rapport doit être cohérent, étayé et détaillé concernant les différentes rubriques. Si ces conditions sont remplies, une pleine valeur probante doit être attribuée à l’enquête. Enfin, le juge ne s’écarte de l’appréciation de l’enquêtrice que s’il y a des évaluations erronées manifestes (ATF 128 V 93 consid. 4). Lorsqu’il s’agit d’évaluer l’impotence, il y a lieu d’appliquer les mêmes critères pour examiner la valeur probante d'un rapport d’enquête au domicile de l'assuré (ATF 130 V 61 consid. 6.2 p. 62 s.).</w:t>
      </w:r>
    </w:p>
    <w:p>
      <w:r>
        <w:t>A/424/2019 - 14/16 -</w:t>
      </w:r>
    </w:p>
    <w:p>
      <w:r>
        <w:rPr>
          <w:b/>
        </w:rPr>
        <w:t>E. 6</w:t>
      </w:r>
    </w:p>
    <w:p>
      <w:r>
        <w:t>Selon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Selon l’art. 35 al. 1 RAI, le droit à l’allocation pour impotent prend naissance le premier jour du mois au cours duquel toutes les conditions de ce droit sont réalisées.</w:t>
      </w:r>
    </w:p>
    <w:p>
      <w:r>
        <w:rPr>
          <w:b/>
        </w:rPr>
        <w:t>E. 7</w:t>
      </w:r>
    </w:p>
    <w:p>
      <w:r>
        <w:t>a. En l’occurrence, une infirmière de l’OAI s’est rendue au domicile de la recourante afin d’évaluer les critères déterminants pour le droit à une allocation pour impotent. Selon son rapport du 22 mars 2018, elle a pris en compte les atteintes à la santé de la recourante, suite à son agression. La recourante a été considérée comme capable d’accomplir, sans aide, les actes de se vêtir/dévêtir, se lever / s’asseoir / se coucher, manger, faire sa toilette, aller aux toilettes, se déplacer. Il a été relevé que l’assurée avait de la peine à couper ses aliments mais ne sollicitait pas d’aide pour cela. S’agissant d’un accompagnement durable, l’enquêtrice a indiqué que la recourante nécessitait de l’aide pour certaines activités ; il était toutefois exigible de son mari qu’il l’accompagne dans certaines tâches, comme les courses ; la recourante gérait elle-même ses médicaments et n’avait pas besoin d’aide pour des soins de base ou pour suivre un traitement ; elle n’avait pas besoin d’une surveillance personnelle ; elle pouvait rester une à deux heures seule ; elle n’avait pas besoin de moyens auxiliaires ; l’enquêtrice a conclu que les conditions pour une allocation pour impotence n’étaient pas remplies. b. La recourante fait valoir qu’elle présente, selon le Dr E______ (rapport du 11 août 2017) des limitations importantes (se rapportant à sa capacité de concentration, de compréhension, d’adaptation et de résistance). Elle avait indiqué lors du dépôt de sa demande, le 9 février 2017, avoir des difficultés depuis le 1er juillet 2016 à se lever seule, à se déplacer, à se faire à manger, à couper sa nourriture ; elle n’avait que très peu de contacts avec l’extérieur, restant très souvent à la maison et ne gérant plus ses affaires administratives ; elle avait une intolérance au stress et n’arrivait pas à gérer les situations du quotidien, alors même que son ex-époux passait de moins en moins de temps en Suisse. c. Au 20 mars 2017, l’enquêtrice a constaté que la recourante, bien que présentant de nombreuse atteintes à la santé suite à son agression du 1er juillet 2016, était dorénavant autonome pour effectuer les six actes ordinaires de la vie. Cette conclusion n’est pas spécifiquement contestée par la recourante, laquelle souligne qu’elle doit faire appel à son ex-mari pour couper les aliments et qu’elle se déplace très lentement ou avec un accompagnement. Or, ces éléments ne remettent pas en cause l’évaluation faite par l’enquêtrice, laquelle a mentionné que la</w:t>
      </w:r>
    </w:p>
    <w:p>
      <w:r>
        <w:t>A/424/2019 - 15/16 - recourante peinait à couper les aliments et qu’elle pouvait se déplacer sans l’aide de tiers, en prenant le bus. En revanche, s’agissant de la nécessité d’un accompagnement durable, le rapport d’enquête se borne à mentionner que la recourante peut structurer sa journée et faire face à ses activités quotidiennes, entretenir son logement avec certaines limitations et qu’elle nécessite de l’aide pour certaines activités, dont les courses mais qu’il était exigible que son époux l’accompagne dans certaines tâches. Cette instruction est insuffisante pour permettre à la chambre de céans d’évaluer si la recourante nécessite un accompagnement durable. En effet, l’aide fournie par l’époux de la recourante, laquelle était encore mariée à la date de la décision litigieuse, n’a pas été quantifiée par l’enquêtrice. Par ailleurs, il apparait que les troubles psychiques survenus à la suite de l’agression empêchent la recourante de s’occuper elle-même de ses affaires administratives, ses médecins ayant attesté d’un état de stress post-traumatique, d’un trouble dépressif récurrent et de limitations importantes de sa capacité de concentration, de compréhension, d’adaptation et de résistance (rapport de l’UIMPV des HUG du 11 août 2017). En outre, l’enquête économique sur le ménage du 22 mars 2018 a fait état d’importantes limitations dans l’exécution des divers champs d’activité (taux d’empêchement pondéré sans exigibilité de 50,5 %). Il apparait ainsi que la recourante pourrait avoir besoin d’une aide durable à tout le moins à raison de deux heures par semaines, au sens de la jurisprudence précitée. Au vu de ce qui précède, une instruction complémentaire se justifie afin de déterminer si la recourante nécessite un accompagnement durable au sens des art. 42 al. 3 LAI et 38 al. 1 RAI.</w:t>
      </w:r>
    </w:p>
    <w:p>
      <w:r>
        <w:rPr>
          <w:b/>
        </w:rPr>
        <w:t>E. 8</w:t>
      </w:r>
    </w:p>
    <w:p>
      <w:r>
        <w:t>Partant, le recours sera partiellement admis, la décision litigieuse annulée et la cause sera renvoyée à l’intimé pour instruction complémentaire et nouvelle décision.</w:t>
      </w:r>
    </w:p>
    <w:p>
      <w:r>
        <w:rPr>
          <w:b/>
        </w:rPr>
        <w:t>E. 9</w:t>
      </w:r>
    </w:p>
    <w:p>
      <w:r>
        <w:t>Vu l’issue du litige, une indemnité de CHF 2’500.-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A/424/2019 - 16/16 -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