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ATAS/1114/2016 vom 22. Dezember 2016</w:t>
      </w:r>
    </w:p>
    <w:p>
      <w:r>
        <w:t>GE Cour de justice, 2016-12-22, FR</w:t>
      </w:r>
    </w:p>
    <w:p>
      <w:r>
        <w:rPr>
          <w:b/>
        </w:rPr>
        <w:t xml:space="preserve">Quelle: </w:t>
      </w:r>
      <w:r>
        <w:t>https://mcp.opencaselaw.ch/entscheid/ge_gerichte_ATAS_1114_2016</w:t>
      </w:r>
    </w:p>
    <w:p>
      <w:r>
        <w:t>FR: GE_GERICHTE ATAS/1114/2016 du 22 décembre 2016</w:t>
      </w:r>
    </w:p>
    <w:p>
      <w:r>
        <w:t>IT: GE_GERICHTE ATAS/1114/2016 del 22 dicembre 2016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A/338/2016 - 10/16 -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la forme et le délai prévus par la loi, le recours est recevable, en vertu des art. 56ss LPGA.</w:t>
      </w:r>
    </w:p>
    <w:p>
      <w:r>
        <w:rPr>
          <w:b/>
        </w:rPr>
        <w:t>E. 5</w:t>
      </w:r>
    </w:p>
    <w:p>
      <w:r>
        <w:t>Le litige porte sur le droit de la recourante aux prestations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A/338/2016 - 11/16 -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A/338/2016 - 12/16 -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w:t>
      </w:r>
    </w:p>
    <w:p>
      <w:r>
        <w:t>A/338/2016 - 13/16 -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10</w:t>
      </w:r>
    </w:p>
    <w:p>
      <w:r>
        <w:t>En l’espèce, l’intimé fonde son refus de prestation sur les conclusions du rapport du CEMed. La recourante, elle, les conteste et s’étonne que les experts, bien qu’ayant retenu les mêmes diagnostics que ses médecins traitants, aient considéré, contrairement à ces derniers, qu’elle pourrait continuer à exercer à 100% son</w:t>
      </w:r>
    </w:p>
    <w:p>
      <w:r>
        <w:t>A/338/2016 - 14/16 - ancienne activité, ce qu’elle estime impossible à envisager, en raison principalement de ses troubles de concentration et de mémoire. Tout d'abord, il convient d’examiner la valeur probante de l’expertise du CEMed. Le rapport d’examen des experts se fondent sur une anamnèse détaillée, un examen clinique de la recourante et tient compte des plaintes rapportées par celle-ci. Il a été établi en pleine connaissance du dossier et ses conclusions, dûment motivées, ne laissent pas apparaître de contradictions. Au surplus, comme l’admet la recourante elle-même, les diagnostics retenus sont les mêmes que ceux évoqués par les médecins traitants. Le seul diagnostic supplémentaire retenu par le psychiatre traitant est celui de syndrome de stress post-traumatique, dont on relèvera cependant qu’il a été retenu tardivement, qu’il n’a pas été étayé et qu’il n’est pas corroboré par les plaintes de la recourante, laquelle n’a jamais fait état, devant les experts ni même devant son médecin traitant, des symptômes caractéristiques d’une telle atteinte (reviviscences, flash-backs, ou autres). L’argument de la recourante qui reproche à l’expertise d’avoir été réalisée en octobre 2014, soit une année avant la décision litigieuse, n’est pas pertinent, dans la mesure où ses médecins n’ont pas documenté ni même allégué que son état de santé se serait aggravé dans l’intervalle. Cependant, il apparaît à la lecture du dossier que les experts se sont fondés sur une prémisse erronée qui semble avoir influencé notablement leur appréciation des répercussions des atteintes à la santé psychiques sur la capacité de travail de la recourante : en effet, les experts sont partis de l’idée que l’assurée avait travaillé normalement durant dix-neuf ans, sans rencontrer de difficultés particulières, alors qu’il ressort des enquêtes et de la lecture du rassemblement de ses comptes AVS qu’en réalité, elle a majoritairement travaillé pour son père (administrateur des deux employeurs principaux de la recourante). Les autres postes occupés par la recourante ne l’ont été que de manière très temporaire, ce qui corrobore les allégations des médecins traitants selon lesquelles la recourante n’a en réalité, vu ses troubles psychiques, jamais été capable d’assumer un poste en dehors du milieu protégé que lui a fourni son père. Aux dires des médecins qui suivent l’assurée, l’état psychique de celle-ci l’empêche en effet de répondre aux exigences inhérentes à la reprise d’une activité professionnelle structurée sur le marché normal du travail. Le psychiatre traitant explique à cet égard que les troubles psychiques de l’assurée ont un impact sur ses relations interpersonnelles, lesquelles se déroulent sur un mode pathologique. Il souligne que si elle a effectivement travaillé par le passé, c’est dans un contexte très particulier, avec son père, et d’ailleurs, cela a fini par ne plus fonctionner non plus. Ses tentatives de réinsertion n’ont rien donné. Les experts ont admis l’existence des atteintes psychiques et ont estimé qu’elles se traduisaient par une baisse de rendement à 20% au maximum sur l’année.</w:t>
      </w:r>
    </w:p>
    <w:p>
      <w:r>
        <w:t>A/338/2016 - 15/16 - Cependant, comme relevé plus haut, ils se sont fourvoyés quant au succès du parcours professionnel de l’assurée, ce qui a pu les amener à sous-estimer les répercussions réelles des troubles psychiques. Par ailleurs, ils n’ont procédé à aucune évaluation des troubles de l’attention et de la concentration allégués, se contentant de noter qu’ils n’en avaient pas observés au cours de l’examen. Dans ces circonstances, la Cour de céans considère qu’une instruction complémentaire, sous forme d’observation professionnelle approfondie, voire d’évaluation neuropsychologique serait souhaitable afin d’écarter tout doute. En conséquence, le recours est admis partiellement et la cause renvoyée à l’intimé pour instruction complémentaire et nouvelle décision.</w:t>
      </w:r>
    </w:p>
    <w:p>
      <w:r>
        <w:t>A/338/2016 - 16/16 -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