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ATAS/1113/2019 vom 3. Dezember 2019</w:t>
      </w:r>
    </w:p>
    <w:p>
      <w:r>
        <w:t>GE Cour de justice, 2019-12-03, FR</w:t>
      </w:r>
    </w:p>
    <w:p>
      <w:r>
        <w:rPr>
          <w:b/>
        </w:rPr>
        <w:t xml:space="preserve">Quelle: </w:t>
      </w:r>
      <w:r>
        <w:t>https://mcp.opencaselaw.ch/entscheid/ge_gerichte_ATAS_1113_2019</w:t>
      </w:r>
    </w:p>
    <w:p>
      <w:r>
        <w:t>FR: GE_GERICHTE ATAS/1113/2019 du 3 décembre 2019</w:t>
      </w:r>
    </w:p>
    <w:p>
      <w:r>
        <w:t>IT: GE_GERICHTE ATAS/1113/2019 del 3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droit du recourant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w:t>
      </w:r>
    </w:p>
    <w:p>
      <w:r>
        <w:t>A/738/2019 - 7/18 -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A/738/2019 - 8/18 -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A/738/2019 - 9/18 - sur la base d’un dossier peut se voir reconnaître une pleine valeur probante (arrêt du Tribunal fédéral 8C_681/2011 du 27 juin 2012 consid. 4.1 et les références). b/cc.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w:t>
      </w:r>
    </w:p>
    <w:p>
      <w:r>
        <w:t>A/738/2019 - 10/18 -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Devant la chambre de céans, il n’est pas contesté que l’incapacité de travail du recourant était entière du 10 septembre 2015 au 31 décembre 2017. Les parties admettent par ailleurs qu’elle est de 100 % depuis le 1er juillet 2018. Les parties s’opposent en revanche sur la capacité de travail que présentait le recourant entre le 1er janvier 2018 et le 30 juin 2018. D’après l’intimé, le recourant présentait, pour cette période, une incapacité de travail de 50 %, alors que le recourant estime qu’elle était de 100 %. En l’occurrence, pour reconnaître au recourant une capacité de travail de 50 % du 1er janvier 2018 au 30 juin 2018, l’OAI s’est notamment fondé sur le rapport médical du Dr F______ du 2 janvier 2018. Questionné par l’intimé au sujet de l’évolution de la situation du recourant, le médecin a relevé que le myélome multiple était plutôt stable après l’autogreffe. La situation concernant les douleurs osseuses sur atteinte de la colonne vertébrale par le myélome multiple présentait toutefois une évolution négative avec des douleurs qui empêchaient parfois le déplacement et le port de poids dépassant les 5 à 6 kg. À cause de la spondylodèse au niveau L4-L5 et des dépressions des plateaux supérieurs des vertèbres L1-L2-L3, le recourant présentait une rigidité de toute la colonne lombaire qui était très algique à l’exercice de n’importe quelle compression mécanique. Il existait également une zone d’ostéolyse du sacrum qui était également algique suivant les positions et les forces exercées. Le recourant présentait de plus des paresthésies et une hypoesthésie au niveau des extrémités des membres inférieurs. La force musculaire n’était toutefois pas atteinte. Ces anomalies au niveau de la colonne vertébrale, partie lombosacrée, empêchaient tout travail qui mettait la colonne vertébrale sous pression. La douleur intense était déclenchée dès le mouvement de rotation et dès le soulèvement d’un poids de 5 à 6 kg. De plus, le périmètre de marche était limité à 300 mètres. De l’avis du médecin, dans un poste strictement</w:t>
      </w:r>
    </w:p>
    <w:p>
      <w:r>
        <w:t>A/738/2019 - 11/18 - adapté aux limitations fonctionnelles (par ex. comptabilité, répondre au courrier électronique, contrôle des factures de réparation, contrats d’exploitation), le recourant était capable de travailler à 50 % et, ceci, à cause d’une fatigue liée aux traitements lourds reçus jusqu’à alors et qu’il continuait à recevoir. Ce type d’activité était à revoir après six mois de traitement car il y avait un espoir qu’il puisse travailler à 70 %. Dans son avis du 7 février 2019, le Dr H______, médecin traitant du recourant, rejoint l’appréciation du Dr F______ s’agissant des atteintes dont souffre le recourant depuis que le myélome multiple a été diagnostiqué en septembre 2016, à savoir paresthésies, dysphasies des pieds, douleurs au niveau lombaire et fatigue due au traitement. Le médecin ne donne en revanche aucune indication s’agissant de la capacité de travail du recourant avant l’aggravation survenue en juillet 2018. Il est certes d’avis que la symptomologie très sévère que présente le recourant liée à l’atteinte osseuse l’empêche d’avoir une activité physique quotidienne normale, de sorte qu’il était fortement déconseillé de reprendre son travail (incapacité à 100 %). Cette appréciation a cependant été rendue dans le contexte de l’aggravation survenue en juillet 2018. Or, les deux parties s’accordent à retenir que le recourant présente depuis cette date une incapacité totale de travail. Ainsi, contrairement à ce que semble indiquer le recourant, l’appréciation du médecin traitant, telle qu’exprimé dans son avis du 7 février 2019, ne vient pas contredire celle du Dr F______ s’agissant de la capacité de travail résiduelle du recourant entre le 1er janvier 2018 et le 30 juin 2018. Le Dr H______ a certes attesté d’une incapacité de travail de 100 % du 7 octobre 2016 au 14 décembre 2018. Cela ressort toutefois d’un simple certificat médical qui ne répond à aucune question précise. À lui seul, ce document n’est pas suffisant pour mettre en doute l’appréciation du Dr F______. Les conclusions de ce dernier quant à la capacité de travail dans une activité adaptée sont en effet convaincantes au vu des limitations fonctionnelles qu’entraînaient les atteintes du recourant pour la période du 1er janvier 2018 au 30 juin 2018. Le dossier ne contient du reste aucun avis contraire portant spécifiquement sur la période en question. Il convient en conséquence de confirmer le taux de capacité de travail retenu par l’OAI dans sa décision, soit 100 % dès le 10 septembre 2015 et 50 % dès le 1er janvier 2018. S’ajoute à cela que, comme déjà exposé, les parties admettent l’existence d’une aggravation de l’état de santé du recourant à partir du 1er juillet 2018. Dans la mesure où cette appréciation apparaît juridiquement fondée, trois médecins (dont celui du SMR) ayant constaté l’aggravation et tant le SMR que le médecin traitant ayant conclu à une incapacité de travail complète dès cette date, il y a lieu de retenir que le recourant présente une incapacité de travail totale depuis le 1er juillet 2018.</w:t>
      </w:r>
    </w:p>
    <w:p>
      <w:r>
        <w:rPr>
          <w:b/>
        </w:rPr>
        <w:t>E. 9</w:t>
      </w:r>
    </w:p>
    <w:p>
      <w:r>
        <w:t>Reste à déterminer le degré d’invalidité.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w:t>
      </w:r>
    </w:p>
    <w:p>
      <w:r>
        <w:t>A/738/2019 - 12/18 -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w:t>
      </w:r>
    </w:p>
    <w:p>
      <w:r>
        <w:t>A/738/2019 - 13/18 -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c. Pour autant que la taille et l’organisation de son entreprise le permettent, on peut exiger d’un assuré de condition indépendante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9C_394/2009 du 8 janvier 2010 consid. 5.2 ss). d.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w:t>
      </w:r>
    </w:p>
    <w:p>
      <w:r>
        <w:t>A/738/2019 - 14/18 -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Si l’assuré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(arrêt du Tribunal administratif fédéral C-6725/2014 du 6 novembre 2017 consid. 9.1 et les références).</w:t>
      </w:r>
    </w:p>
    <w:p>
      <w:r>
        <w:rPr>
          <w:b/>
        </w:rPr>
        <w:t>E. 10</w:t>
      </w:r>
    </w:p>
    <w:p>
      <w:r>
        <w:t>novembre 2009 consid. 3.4 ; ch. 3032).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consid. 5.2.2 ; ch. 3032.1).</w:t>
      </w:r>
    </w:p>
    <w:p>
      <w:r>
        <w:rPr>
          <w:b/>
        </w:rPr>
        <w:t>E. 11</w:t>
      </w:r>
    </w:p>
    <w:p>
      <w:r>
        <w:t>En l’espèce, l’intimé a évalué le degré d’invalidité du recourant en appliquant la méthode ordinaire de comparaison des revenus. Afin de déterminer le revenu sans invalidité, l’intimé s’est fondé sur la moyenne des résultats du compte pertes et profits des années 2012 à 2014, soit CHF 33'458.-, et s’agissant du revenu avec invalidité, l’intimé a effectué une moyenne des résultats du compte pertes et profits des années 2016 et 2017, soit CHF 32'087.-. À partir de 2018, l’intimé s’est fondé sur un revenu avec invalidité de CHF 33'551.- sur la base des données statistiques résultant de l’ESS 2016 (table TA1 tirage skill level) indexé 2017 et tenant compte d’une incapacité de travail de 50 %. Il convient de déterminer si c’est à bon droit que l’intimé a appliqué cette méthode en se référant au rapport d’enquête pour activité professionnelle indépendante du 3 décembre 2018, ce que conteste le recourant. Dans ce rapport, l’enquêtrice a relevé que la bonne lisibilité des résultats d’exploitation permettait d’évaluer son taux d’invalidité par la méthode ordinaire de comparaison des revenus. Il appert cependant que les revenus avant l’atteinte étaient extrêmement variables. Il ressort en effet de l’extrait CI du recourant que, depuis l’inscription de l’entreprise au registre du commerce, ce dernier a perçu un revenu de CHF 8'698.- en 2008, CHF 12'000.- en 2009, CHF 25'600.- en 2010, CHF 12'700.- en 2011, CHF 20'500.- en 2012, CHF 14'500.- en 2013, CHF 48'100.- en 2014 et CHF 64'900.- en 2015. Dans cette mesure déjà, les données comptables de l’entreprise du recourant ne sauraient constituer une base valable pour évaluer l’incapacité de gain du recourant. À cela s’ajoute que les chiffres résultant des comptes pertes et profits ne permettent pas de distinguer la part du revenu qui résulte exclusivement de la prestation personnelle de travail du recourant de celle qu’il faut attribuer à des facteurs étrangers. Ainsi que le relève le recourant, en raison de ses atteintes à la santé, il a été contraint de sous-traiter une partie de ses activités. La nécessité de faire appel à des tiers est d’ailleurs confirmée par l’appréciation du Dr F______, selon lequel il était exclu, avec le risque d’une paraplégie, que l’intéressé puisse donner un coup de main dans l’intervention au lieu d’exploitation, le déplacement des jeux électriques et les petites réparations. Force est toutefois de constater que si les comptes de pertes et profits de l’entreprise</w:t>
      </w:r>
    </w:p>
    <w:p>
      <w:r>
        <w:t>A/738/2019 - 16/18 - font certes mention de frais de sous-traitance pour l’année 2017 (soit CHF 31'035.-), il ressort des pièces produites par le recourant que la totalité des frais résultant de la sous-traitance afférents aux années 2016 et 2017 (soit CHF 22'800.- pour 2016 et CHF 32'125.- pour 2017) n’a pas été soustraite du chiffre d’affaires. Par ailleurs, au vu du chiffre d’affaires de l’entreprise, lequel est resté relativement bas depuis son inscription au registre du commerce, toute variation, même faible, au niveau des charges avait une importance sur le résultat de l'entreprise. Dans ces conditions, il n’est pas possible de tirer de ces chiffres une appréciation pertinente des effets sur la capacité personnelle de gain du recourant de la diminution de sa capacité de rendement due à l’invalidité. Il ne faut d’ailleurs pas perdre de vue que plus la taille de l’entreprise est petite, plus il sera difficile de parvenir à un résultat significatif sur le plan de la capacité de gain. C’est enfin le lieu de rappeler que la méthode extraordinaire est souvent utilisée pour les indépendants, principalement ceux qui exercent un métier manuel lorsque, en raison de leur état de santé, ils se voient contraints d’abandonner l’activité qu’ils exerçaient à titre principal et de modifier la structure de leur exploitation par l’engagement de nouveaux collaborateurs. Or, on se trouve précisément dans ce cas de figure : le SMR a lui-même relevé, suivant en cela l’avis du Dr F______, que l’activité habituelle du recourant comportait des tâches physiques et des déplacements sur les sites d’exploitation qui n’étaient plus exigibles. Se fondant sur cette appréciation, l’intimé a retenu une incapacité de travail de 100 % dans son activité habituelle depuis le 10 septembre 2015. Il faut toutefois admettre, ainsi que l’a fait l’intimé, que le recourant, qui ne prétend pas avoir délégué l’intégralité de son travail à des tiers et dont les revenus ont, en moyenne, légèrement augmenté depuis la survenance de son incapacité de travail, a maintenu de fait une capacité résiduelle de travail, s’agissant du moins des tâches administratives. Partant, compte tenu de l’ensemble des pièces versées au dossier, la chambre de céans est d’avis que le calcul de l’invalidité, tel qu’effectué par l’intimé, n’est pas de nature à permettre une évaluation conforme au droit des effets des atteintes à la santé sur la capacité de gain du recourant. Le recours sera donc admis sur ce point et la cause sera renvoyée à l’intimé, à charge pour lui d’effectuer une nouvelle évaluation de l’invalidité et de rendre une nouvelle décision.</w:t>
      </w:r>
    </w:p>
    <w:p>
      <w:r>
        <w:rPr>
          <w:b/>
        </w:rPr>
        <w:t>E. 12</w:t>
      </w:r>
    </w:p>
    <w:p>
      <w:r>
        <w:t>À relever enfin que, comme exposé supra, les parties sont d’accord sur l’octroi d’une rente d’invalidité entière en raison de l’incapacité de travail de 100 % que présente le recourant depuis le 1er juillet 2018. L’octroi de cette prestation est juridiquement fondé, de sorte que conformément à l’art. 88a al. 2 RAI, ce changement est à prendre en considération après une durée de trois mois, ce que le recourant ne conteste pas. Partant, le recourant a droit à une rente entière d’invalidité à compter du 1er octobre 2018.</w:t>
      </w:r>
    </w:p>
    <w:p>
      <w:r>
        <w:t>A/738/2019 - 17/18 - Le recourant étant actuellement en incapacité totale de travail, la question du droit à des mesures professionnelles ne se pose pas</w:t>
      </w:r>
    </w:p>
    <w:p>
      <w:r>
        <w:rPr>
          <w:b/>
        </w:rPr>
        <w:t>E. 13</w:t>
      </w:r>
    </w:p>
    <w:p>
      <w:r>
        <w:t>Le recours est donc partiellement admis.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L’intimé sera condamné au paiement d’un émolument de CHF 200.- (art. 69 al. 1bis LAI). * * * * * *</w:t>
      </w:r>
    </w:p>
    <w:p>
      <w:r>
        <w:t>A/738/2019 - 18/18 -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