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ATAS/1113/2016 vom 22. Dezember 2016</w:t>
      </w:r>
    </w:p>
    <w:p>
      <w:r>
        <w:t>GE Cour de justice, 2016-12-22, FR</w:t>
      </w:r>
    </w:p>
    <w:p>
      <w:r>
        <w:rPr>
          <w:b/>
        </w:rPr>
        <w:t xml:space="preserve">Quelle: </w:t>
      </w:r>
      <w:r>
        <w:t>https://mcp.opencaselaw.ch/entscheid/ge_gerichte_ATAS_1113_2016</w:t>
      </w:r>
    </w:p>
    <w:p>
      <w:r>
        <w:t>FR: GE_GERICHTE ATAS/1113/2016 du 22 décembre 2016</w:t>
      </w:r>
    </w:p>
    <w:p>
      <w:r>
        <w:t>IT: GE_GERICHTE ATAS/1113/2016 del 22 dicembre 2016</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bien-fondé du refus de prise en charge de l’intimée, en particulier sur la question de savoir si l'événement du 7 mars 2015 peut être qualifié d'accident ou être assimilé à un accident et celle de la relation de causalité naturelle entre les troubles du genou droit du recourant et l’évènement en question.</w:t>
      </w:r>
    </w:p>
    <w:p>
      <w:r>
        <w:rPr>
          <w:b/>
        </w:rPr>
        <w:t>E. 5</w:t>
      </w:r>
    </w:p>
    <w:p>
      <w:r>
        <w:t>a) Aux termes de l'art. 6 LAA, l'assureur-accidents verse des prestations à l'assuré en cas d'accident professionnel, d'accident non professionnel et de maladie professionnelle.</w:t>
      </w:r>
    </w:p>
    <w:p>
      <w:r>
        <w:t>A/4521/2015 - 7/11 -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son caractère involontaire, un facteur extérieur et enfin, le caractère extraordinaire du dit facteur extérieur. Il suffit que l'un d'entre eux fasse défaut pour que l'événement ne puisse pas être qualifié d'accident (ATF 129 V 402 consid. 2.1; arrêt du Tribunal fédéral 8C_194/2015 du 11 août 2015 consid. 3).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U 345 p. 422 consid. 2b).</w:t>
      </w:r>
    </w:p>
    <w:p>
      <w:r>
        <w:rPr>
          <w:b/>
        </w:rPr>
        <w:t>E. 6</w:t>
      </w:r>
    </w:p>
    <w:p>
      <w:r>
        <w:t>a) L’art. 6 al. 2 LAA a conféré au Conseil fédéral la compétence d’étendre la prise en charge par l’assurance-accidents à des lésions assimilables à un accident. 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w:t>
      </w:r>
    </w:p>
    <w:p>
      <w:r>
        <w:t>A/4521/2015 - 8/11 - accident, même si elles ne sont pas causées par un facteur extérieur de caractère extraordinaire : fractures (let. a), déboîtements d'articulation (let. b), déchirures du ménisque (let. c), déchirures de muscles (let. d), élongations de muscles (let. e), déchirures de tendons (let. f), lésions de ligaments (let. g) et lésions du tympan (let. h).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arrêt du Tribunal fédéral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(arrêt du Tribunal fédéral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ATF 123 V 43 consid. 2b et les arrêts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 accidents (ATF 129 V 466 consid. 4.2).</w:t>
      </w:r>
    </w:p>
    <w:p>
      <w:r>
        <w:rPr>
          <w:b/>
        </w:rPr>
        <w:t>E. 7</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w:t>
      </w:r>
    </w:p>
    <w:p>
      <w:r>
        <w:rPr>
          <w:b/>
        </w:rPr>
        <w:t>E. 8</w:t>
      </w:r>
    </w:p>
    <w:p>
      <w:r>
        <w:t>En l’espèce, il convient tout d’abord de relever que la déchirure du ménisque et la rupture du LCA du genou figurent au nombre des lésions assimilées énumérées par l’art. 9 al. 2 OLAA. Dès lors, le caractère "extraordinaire" de la cause extérieure n’est pas nécessaire. Il n’en demeure pas moins que toutes les autres conditions constitutives de la notion d'accident doivent être réalisées, en particulier celui relatif à une cause extérieure.</w:t>
      </w:r>
    </w:p>
    <w:p>
      <w:r>
        <w:t>A/4521/2015 - 9/11 - Or, l’existence d’une telle cause apparaît douteuse en l’occurrence, si l’on se réfère aux premières déclarations du recourant. En effet, dans sa déclaration d’accident, l’assuré ne mentionne ni chute, ni glissade, mais un simple faux mouvement et un craquement. Ce n’est que par la suite, fin août, soit près de cinq mois après l’évènement, que les notions de glissade et de chute apparaissent, sans que l’assuré ne puisse d’ailleurs affirmer de manière catégorique que la chute alléguée a précédé le craquement. C’est le lieu de rappeler que si les explications d'un assuré sur le déroulement d'un fait allégué sont au bénéfice d'une présomption de vraisemblance (arrêt du Tribunal fédéral des assurances U 96/05 du 20 mai 2006 consid. 3.1; arrêt du Tribunal fédéral U 267/01 du 4 juin 2002 consid. 2a),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arrêt du Tribunal fédéral 9C_663/2009 du 1er février 2010 consid. 3.2). Cela étant,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En l’espèce, cela a pour conséquence que, si l’on se réfère aux premières déclarations de l’assuré, la responsabilité de l’assureur-accident ne saurait être reconnue. Pour ce motif déjà, le bien-fondé de la décision litigieuse doit être reconnu.</w:t>
      </w:r>
    </w:p>
    <w:p>
      <w:r>
        <w:rPr>
          <w:b/>
        </w:rPr>
        <w:t>E. 9</w:t>
      </w:r>
    </w:p>
    <w:p>
      <w:r>
        <w:t>Au surplus, le droit à des prestations découlant d'un accident assuré suppose également,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w:t>
      </w:r>
    </w:p>
    <w:p>
      <w:r>
        <w:t>A/4521/2015 - 10/11 -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10</w:t>
      </w:r>
    </w:p>
    <w:p>
      <w:r>
        <w:t>En l’espèce, même si l’on admet l’existence d’un facteur extérieur, le lien de causalité naturelle doit être nié. A cet égard, il convient, ainsi que le rappelle la jurisprudence, de se référer aux renseignements d’ordre médical, plus particulièrement à l’avis des Dresses E_____ et F_____. Si celles-ci se sont ralliées aux allégations du Dr C_____ quant au fait qu’une rupture du LCA ne peut en aucun cas être maladive ou dégénérative, elles ont en revanche indiqué ne pouvoir corroborer la temporalité évoquée quant au développement de cette rupture. Elles ont expliqué que la qualité et la localisation de l’atteinte méniscale parlent plutôt en faveur d’une atteinte asynchrone/décalée par rapport à l’atteinte du LCA, d’autant plus qu’il n’y a ni lésion osseuse ni lésion des ligaments collatéraux. Elles ont également expliqué que les ruptures du LCA sont l’apanage d’accidents comportant un pivot ou un pivot et un contact assez violent, raison pour laquelle il est difficile de concevoir une telle lésion à l’occasion d’une randonnée, sans condition particulière et, surtout, sans mouvement de pivot. Au terme d’explications détaillées et motivées, les médecins ont conclu qu’au vu de l’évolution et de l’imagerie, une rupture du LCA était certes possible, suite au traumatisme du 7 mars 2015, mais pas au degré de la vraisemblance prépondérante requis. Quant à la chondropathie, elles expliquent qu’il s’agit d’une forme d’usure du cartilage, de sorte qu’il est évident qu’elle n’est pas séquellaire à l’accident du 7 mars 2015. On notera que le Dr C_____ a pour sa part considéré qu’il n’était « pas invraisemblable » que ce soit l’évènement survenu en mars 2015 qui soit à l’origine des lésions. Lui non plus n’a donc pas qualifié le lien de causalité naturelle de probable mais de « possible », ce qui n’est pas suffisant au sens de la jurisprudence. Pour ce motif également, la décision de l’intimée apparaît bien fondée.</w:t>
      </w:r>
    </w:p>
    <w:p>
      <w:r>
        <w:rPr>
          <w:b/>
        </w:rPr>
        <w:t>E. 11</w:t>
      </w:r>
    </w:p>
    <w:p>
      <w:r>
        <w:t>Au vu de ce qui précède, le recours est rejeté. PAR CES MOTIFS, LA CHAMBRE DES ASSURANCES SOCIALES :</w:t>
      </w:r>
    </w:p>
    <w:p>
      <w:r>
        <w:t>A/4521/2015 - 11/11 -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