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ATAS/1112/2020 vom 19. November 2020</w:t>
      </w:r>
    </w:p>
    <w:p>
      <w:r>
        <w:t>GE Cour de justice, 2020-11-19, FR</w:t>
      </w:r>
    </w:p>
    <w:p>
      <w:r>
        <w:rPr>
          <w:b/>
        </w:rPr>
        <w:t xml:space="preserve">Quelle: </w:t>
      </w:r>
      <w:r>
        <w:t>https://mcp.opencaselaw.ch/entscheid/ge_gerichte_ATAS_1112_2020</w:t>
      </w:r>
    </w:p>
    <w:p>
      <w:r>
        <w:t>FR: GE_GERICHTE ATAS/1112/2020 du 19 novembre 2020</w:t>
      </w:r>
    </w:p>
    <w:p>
      <w:r>
        <w:t>IT: GE_GERICHTE ATAS/1112/2020 del 19 novembre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 art. 43 LPCC).</w:t>
      </w:r>
    </w:p>
    <w:p>
      <w:r>
        <w:rPr>
          <w:b/>
        </w:rPr>
        <w:t>E. 3</w:t>
      </w:r>
    </w:p>
    <w:p>
      <w:r>
        <w:t>Le litige porte sur la question de savoir si c'est à juste titre que l'intimé a requis du recourant la restitution des prestations complémentaires au titre de biens dessaisis et de biens immobiliers non pris en compte.</w:t>
      </w:r>
    </w:p>
    <w:p>
      <w:r>
        <w:rPr>
          <w:b/>
        </w:rPr>
        <w:t>E. 4</w:t>
      </w:r>
    </w:p>
    <w:p>
      <w:r>
        <w:t>L'examen de la remise de l'obligation de restituer les prestations, qui a été déposée par l’assuré, fera l'objet d'une procédure distincte, dans la mesure où la demande ne peut être traitée sur le fond que si la décision de restitution est entrée en force (cf. art. 4 al. 2 de l'ordonnance sur la partie générale du droit des assurances sociales du 11 septembre 2002 [OPGA -RS 830.11] ; arrêt du Tribunal fédéral des assurances</w:t>
      </w:r>
    </w:p>
    <w:p>
      <w:r>
        <w:t>A/3669/2019 - 11/22 - P 59/06 du 5 décembre 2007 consid. 3 ; arrêt du Tribunal fédéral des assurances P 63/06 du 14 mars 2007 consid. 3 ; voir aussi art. 5C al. 2 de la loi sur les prestations fédérales complémentaires à l’assurance-vieillesse et survivants et à l’assurance-invalidité du 14 octobre 1965 [LPFC - J 4 20] et art. 15 du règlement cantonal relatif aux prestations cantonales complémentaires à l'assurance-vieillesse et survivants et à l'assurance-invalidité du 25 juin 1999 [RPCC-AVS/AI - J 4 25.03]).</w:t>
      </w:r>
    </w:p>
    <w:p>
      <w:r>
        <w:rPr>
          <w:b/>
        </w:rPr>
        <w:t>E. 5</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6</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 al. 1 LPGA). S'agissant des prestations complémentaires cantonales, l'art. 43 LPCC ouvre les mêmes voies de droit.</w:t>
      </w:r>
    </w:p>
    <w:p>
      <w:r>
        <w:rPr>
          <w:b/>
        </w:rPr>
        <w:t>E. 7</w:t>
      </w:r>
    </w:p>
    <w:p>
      <w:r>
        <w:t>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personnes seules CHF 19'050.- en 2012, CHF 19'210.- en 2013 et 2014, CHF 19'290.- en 2015, 2016, 2017 et 2018 et CHF 19'450.- dès 2019 (let. a ch. 1). Selon l'art. 11 al. 1 LPC, les revenus déterminants comprennent notamment le produit de la fortune mobilière et immobilière (let. b) ; un quinzième de la fortune nette, un dixième pour les bénéficiaires de rentes de vieillesse, dans la mesure où elle dépasse CHF 37'500.- pour les personnes seules (let. c, 1ère phrase) ; et les ressources et parts de fortune dont un ayant droit s'est dessaisi (let. g).</w:t>
      </w:r>
    </w:p>
    <w:p>
      <w:r>
        <w:t>A/3669/2019 - 12/22 -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w:t>
      </w:r>
    </w:p>
    <w:p>
      <w:r>
        <w:rPr>
          <w:b/>
        </w:rPr>
        <w:t>E. 8</w:t>
      </w:r>
    </w:p>
    <w:p>
      <w:r>
        <w:t>a. Selon l'art. 25 al. 1, 1ère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A/3669/2019 - 13/22 - Selon l'art. 3 al. 1 OPGA, l'étendue de l'obligation de restituer est fixée par une décision. b. Au niveau cantonal, l'art. 24 al. 1 1ère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9</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Si la créance naît d'un acte punissable pour lequel le droit pénal prévoit un délai de prescription plus long, celui-ci est déterminant.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c.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d. Dans le domaine des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w:t>
      </w:r>
    </w:p>
    <w:p>
      <w:r>
        <w:t>A/3669/2019 - 14/22 -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w:t>
      </w:r>
    </w:p>
    <w:p>
      <w:r>
        <w:t>A/3669/2019 - 15/22 - raison de sa situation juridique, notamment en vertu de la loi ou d'un contrat (cf. art.</w:t>
      </w:r>
    </w:p>
    <w:p>
      <w:r>
        <w:rPr>
          <w:b/>
        </w:rPr>
        <w:t>E. 11</w:t>
      </w:r>
    </w:p>
    <w:p>
      <w:r>
        <w:t>consid. 2.4 ;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Selon la jurisprudence du Tribunal fédéral,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w:t>
      </w:r>
    </w:p>
    <w:p>
      <w:r>
        <w:rPr>
          <w:b/>
        </w:rPr>
        <w:t>E. 13</w:t>
      </w:r>
    </w:p>
    <w:p>
      <w:r>
        <w:t>En l'espèce, dans un premier grief, le recourant conteste avoir dissimulé le bien immobilier situé au Portugal, ainsi que le délai de prescription pénal de sept ans retenu par l’intimé pour fixer la période pendant laquelle la restitution a été fixée. Le recourant a été, chaque année, rendu attentif à son obligation d’annoncer à l’intimé tout changement intervenant dans sa situation économique, notamment en lui demandant de contrôler les montants pris en compte dans les calculs annuels figurant dans ses décisions. Il était ainsi tenu d'informer l'intimé de l’existence de biens immobiliers à l’étranger dont il ne pouvait ignorer qu'ils auraient vraisemblablement une incidence sur le calcul de ses prestations complémentaires, tant fédérales que cantonales. En cas d'incompréhension, il avait la possibilité de solliciter l'aide et les conseils d'un représentant d'un organisme social afin de contrôler l'adéquation des décisions</w:t>
      </w:r>
    </w:p>
    <w:p>
      <w:r>
        <w:t>A/3669/2019 - 18/22 - reçues chaque année avec sa situation réelle (cf. arrêt du Tribunal fédéral 8C_297/2008 du 23 septembre 2008), ce qu'il n’a pas fait, prenant conseil auprès d’amis. En ne remplissant pas son obligation de renseigner, alors même qu'elle lui avait été communiquée annuellement, il a effectivement réalisé l’infraction prévue à l’art. 31 al. 1 let. a et d LPC. Il y a lieu de constater qu’en dépit des limitations intellectuelles alléguées par son conseil, le recourant a admis être aidé dans ses démarches administratives par ses enfants et par des amis. L’audience de comparution personnelle a mis à jour des contradictions dans le récit de l’assuré qui a, dans un premier temps expliqué qu’il avait décidé d’envoyer les attestations portugaises - niant la propriété de biens immobiliers - au SPC parce que cela lui était passé par la tête, avant d’expliquer que c’était son fils B______ qui le lui avait conseillé après avoir vu les courriers du SPC en 2016, avant de changer encore de version et de déclarer finalement - après l’intervention du SPC pendant l’audition - qu’il avait produit ces attestations négatives sur le conseil d’amis. La chambre de céans considère qu’il est établi au degré de la vraisemblance prépondérante que le recourant a cherché à dissimuler l’existence d’un bien immobilier au Portugal, en cachant d’abord l’existence de ce dernier dont la construction a débuté, à tout le moins, en 2006, puis en organisant la donation dudit bien à ses enfants, en 2012, alors que l’un des deux enfants était encore mineur et qu’il n’y avait aucune urgence à procéder de la sorte. Suite à cette donation, l’assuré a été en mesure de pouvoir produire des attestations déniant la propriété d’un bien immobilier, ce qui était de nature à induire en erreur le SPC. Compte tenu de ce qui précède, il y a lieu de retenir une violation de l’obligation de renseigner l’intimé, ce qui justifie d’appliquer le délai de prescription de l’action pénale pour une infraction telle que décrite par l’art. 31 LPC, soit un délai de sept ans.</w:t>
      </w:r>
    </w:p>
    <w:p>
      <w:r>
        <w:rPr>
          <w:b/>
        </w:rPr>
        <w:t>E. 14</w:t>
      </w:r>
    </w:p>
    <w:p>
      <w:r>
        <w:t>À teneur de l'art. 11 al. 1 LPC, il y a lieu de tenir compte de la fortune dans le calcul des revenus déterminants. Selon l’al. 4 du même article, les immeubles font partie de la fortune et doivent être pris en compte au montant de leur valeur vénale, étant précisé que lorsque l’immeuble est sis à l’étranger, on peut se fonder sur une expertise locale. En l’espèce, les documents de l’agence immobilière H______ fournis par le recourant retiennent une valeur vénale de EUR 97'744.32 pour le bien immobilier et une valeur de rendement annuelle de EUR 2'814.97. En dépit des déclarations faites en audience de comparution personnelle par le recourant selon lesquelles il ne pourrait jamais obtenir un montant de EUR 100'000.- s’il vendait maintenant son bien immobilier, la chambre de céans considère que les montants articulés dans l’expertise de H______ pour fixer la valeur vénale et la valeur locative annuelle</w:t>
      </w:r>
    </w:p>
    <w:p>
      <w:r>
        <w:t>A/3669/2019 - 19/22 - peuvent être retenus comme hautement vraisemblables, s’agissant d’une agence immobilière locale, qui est au courant des prix du marché. Partant, la prise en compte de ces montants par le SPC, dans les tableaux de calculs de la décision du 30 août 2019, à titre de fortune, respectivement de revenus ne prête pas le flanc à la critique, étant précisé que les taux de change EUR/CHF appliqués chaque année ne sont pas contestés. Les documents fournis par le recourant établissent que ce dernier était propriétaire du bien immobilier de 2010 à 2012, année de la donation à ses enfants. Dès lors, il se justifie de prendre en compte la valeur de l’immeuble et les revenus hypothétiques de ce dernier au titre de la fortune du recourant pour les années 2010 et 2011. Après la donation intervenue en 2012, le bien immobilier du recourant doit être considéré comme un bien dessaisi en faveur de B______ et C______, les enfants de l’assuré. Toutefois, dans les plans de calcul des prestations complémentaires fournis par le SPC à l’appui de la décision querellée, certains montants paraissent erronés. En ce qui concerne la fortune immobilière : Pour la période allant du 1er octobre 2010 au 31 décembre 2010, la fortune immobilière est fixée à CHF 147'965.35, ce qui correspond, selon le taux de change indiqué, à l’équivalent de EUR 97'744.92, les revenus de la fortune immobilière sont fixés à CHF 4'261.30, ce qui correspond à EUR 2'814.97 ; le calcul est exact. Pour les années 2010, 2011 et des sept premiers mois de l’année 2012, la fortune immobilière et les revenus immobiliers correspondent aux montants figurant dans le tableau de la valeur vénale et des revenus du bien immobilier. Dès le 1er août 2012 (soit après la donation du bien immobilier intervenue dans le courant du mois de juillet 2012), la valeur vénale du bien est de CHF 120'179.57. Elle est partagée en deux et fait l’objet d’une rubrique « biens dessaisis » (le recourant) pour CHF 60'089.80 et « fortune immobilière » (part de B______) pour CHF 60'089.80, ce qui est exact. Pour l’année 2013, la valeur vénale du bien est de CHF 117'996.94. C______ est exclue du calcul des prestations complémentaires. Le montant du bien dessaisi est comptabilisé sous « capital moral » (soit l’équivalent pour des raisons techniques de la rubrique « bien dessaisis selon les indications du SPC) pour un montant de CHF 60'089.80, ce qui est erroné, car ne représentant pas 50% de CHF 117'996.94. Il faut retenir un montant de CHF 58'998.50. Le montant indiqué sous la rubrique « fortune immobilière », soit 117'996.95, est erroné et doit être réduit de 50%, dès lors que 50% du montant est déjà comptabilisé sous « capital moral » en tant que bien dessaisi. Il s’agit de la part (50%) de B______, calculée à la valeur vénale, soit CHF 58'998.50. Pour l’année 2014, la valeur vénale du bien est de CHF 119'990.93. C______ est exclue du calcul des prestations complémentaires. Le montant du bien dessaisi par</w:t>
      </w:r>
    </w:p>
    <w:p>
      <w:r>
        <w:t>A/3669/2019 - 20/22 - l’assuré est comptabilisé sous « biens dessaisis » pour un montant de CHF 50'089.80, ce qui est inexact. La moitié de la valeur vénale est fixée à CHF 59'995.45 dont il faut soustraire CHF 10'000.- à titre d’amortissement dès la 2ème année, ce qui donne un montant de CHF 49'995.45. Le montant indiqué sous la rubrique « fortune immobilière » (part de B______), soit CHF 59'995.45 est correct. Pour l’année 2015, la valeur vénale du bien est de CHF 117'527.77. Le montant du bien est comptabilisé sous fortune immobilière pour CHF 117'527.80, ce qui est exact dès lors qu’il faut prendre en compte la valeur vénale additionnée de B______ (50%) et C______ (50%), cette dernière devant être inclue dans le calcul des prestations complémentaires. Pour la période allant du 1er janvier au 31 octobre 2016, la valeur vénale du bien est de CHF 105'905.97. Le montant du bien est comptabilisé sous fortune immobilière pour CHF 105'906.-, ce qui est exact dès lors qu’il faut prendre en compte la valeur vénale additionnée des parts de B______ (50%) et C______ (50%), cette dernière devant être inclue dans le calcul des prestations complémentaires. Pour la période allant du 1er novembre au 31 décembre 2016, la valeur vénale du bien est de CHF 105'905.97. C______ est exclue du calcul des prestations complémentaires. Le montant du bien dessaisi est comptabilisé sous « biens dessaisis » pour un montant de CHF 30'089.80, ce qui est inexact. La moitié de la valeur vénale est fixée à CHF 52'953.- dont il faut soustraire CHF 30'000.- à titre d’amortissement (année de donation = 2012, dès la 2ème année soit 2014, soustraire CHF 10'000.-, puis en 2015, soustraire CHF 10'000.-, puis en 2016, soustraire CHF 10'000.-, soit CHF 30'000.- pour 3 années d’amortissement), ce qui donne un montant de CHF 52'953 - CHF 30'000.- soit 22'953.-. Le montant indiqué sous la rubrique « fortune immobilière » (part de B______), soit CHF 52'953.- est correct. Pour l’année 2017, la valeur vénale du bien est de CHF 104'967.60. C______ est exclue du calcul des prestations complémentaires. Le montant du bien dessaisi est comptabilisé sous « capital moral » (soit « biens dessaisis ») pour un montant de CHF 20'089.60. S’agissant de la 4ème année d’amortissement, il faut prendre en compte 50% de la valeur vénale, soit CHF 52'483.80, soustraire 4 années d’amortissement à CHF 10'000.- par année, soit CHF 40'000.-, ce qui donne un solde de CHF 12'483.80. L’intégralité du bien est reprise en compte une 2ème fois pour CHF 104'967.60 à 100% de la valeur vénale sous « fortune immobilière », ce qui est inexact. Il faut prendre en compte la valeur vénale du bien à 50% (part de B______), soit CHF 52'483.80. Le SPC devra donc procéder aux corrections de ses calculs dans la prise en compte des biens dessaisis et de la fortune immobilière. En ce qui concerne l’épargne, les montants de CHF 25'969.30 retenus pour chacune des années de 2010 à 2016 sont erronés au regard des relevés bancaires fournis par l’assuré à l’appui de son recours. Il appartiendra à l’intimé de prendre en compte les</w:t>
      </w:r>
    </w:p>
    <w:p>
      <w:r>
        <w:t>A/3669/2019 - 21/22 - montants figurant sur les relevés bancaires transmis à la chambre de céans pour procéder à un nouveau calcul de l’épargne. Une fois qu’il aura procédé à un nouveau calcul des prestations complémentaires pour la période allant du 1er novembre 2010 au 31 octobre 2017, le SPC devra actualiser le montant dont la restitution est demandée au recourant, étant précisé qu’en raison de la diminution de la fortune prise en compte, le montant dont la restitution est réclamée devrait être inférieur à CHF 97'241.- Compte tenu de ce qui précède, le recours sera partiellement admis, la décision du 30 août 2019 annulée et la cause renvoyée au SPC pour rendre une nouvelle décision au sens des considérants.</w:t>
      </w:r>
    </w:p>
    <w:p>
      <w:r>
        <w:rPr>
          <w:b/>
        </w:rPr>
        <w:t>E. 15</w:t>
      </w:r>
    </w:p>
    <w:p>
      <w:r>
        <w:t>Le recourant obtenant partiellement gain de cause et étant assisté d’un mandataire professionnel, un montant de CHF 1’500.- lui sera alloué à titre de dépens, étant précisé que ce montant est fixé en tenant compte du fait que le recourant n’a pas transmis à temps les relevés réclamés par le SPC, ce qui aurait permis à l’intimé de procéder à un calcul exact de l’épargne devant être prise en compte dans sa décision.</w:t>
      </w:r>
    </w:p>
    <w:p>
      <w:r>
        <w:rPr>
          <w:b/>
        </w:rPr>
        <w:t>E. 16</w:t>
      </w:r>
    </w:p>
    <w:p>
      <w:r>
        <w:t>Pour le surplus, la procédure est gratuite.</w:t>
      </w:r>
    </w:p>
    <w:p>
      <w:r>
        <w:t>A/3669/2019 - 22/22 -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