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ATAS/1112/2019 vom 3. Dezember 2019</w:t>
      </w:r>
    </w:p>
    <w:p>
      <w:r>
        <w:t>GE Cour de justice, 2019-12-03, FR</w:t>
      </w:r>
    </w:p>
    <w:p>
      <w:r>
        <w:rPr>
          <w:b/>
        </w:rPr>
        <w:t xml:space="preserve">Quelle: </w:t>
      </w:r>
      <w:r>
        <w:t>https://mcp.opencaselaw.ch/entscheid/ge_gerichte_ATAS_1112_2019</w:t>
      </w:r>
    </w:p>
    <w:p>
      <w:r>
        <w:t>FR: GE_GERICHTE ATAS/1112/2019 du 3 décembre 2019</w:t>
      </w:r>
    </w:p>
    <w:p>
      <w:r>
        <w:t>IT: GE_GERICHTE ATAS/1112/2019 del 3 dicembre 2019</w:t>
      </w:r>
    </w:p>
    <w:p>
      <w:pPr>
        <w:pStyle w:val="Heading2"/>
      </w:pPr>
      <w:r>
        <w:t>Erwägungen</w:t>
      </w:r>
    </w:p>
    <w:p>
      <w:r>
        <w:rPr>
          <w:b/>
        </w:rPr>
        <w:t>E. 9</w:t>
      </w:r>
    </w:p>
    <w:p>
      <w:r>
        <w:t>Le 20 décembre 2017, l’OAI a établi un rapport économique sur le ménage suite à une visite de l’assurée le 19 décembre 2017, laquelle avait eu lieu dans la chambre d’hôtel occupée par l’intéressée et son fils B______ aux frais de l’Hospice général dans l’attente d’un logement. L’infirmière de l’OAI a indiqué que l’assurée était séparée de son mari depuis un an. Elle ne percevait pas de pension de sa part. Sans atteinte à la santé, l’assurée a déclaré qu’elle aurait été masseuse à plein temps. Elle avait été mise en incapacité totale de travailler en mars 2013. Concernant les empêchements dans les travaux habituels, l’enquêtrice a retenu des empêchements pondérés de 36 %, à savoir 30 % dans la conduite du ménage représentant le 5 % des activités, 40 % dans l’alimentation représentant le 35 % des activités, 50 % dans l’entretien du logement représentant le 20 % des activités, 40 % pour les emplettes et courses diverses représentant le 10 % des activités, 20 % pour la lessive et l’entretien des vêtements représentant le 20 % des activités, ainsi que 25 % pour le soin aux enfants ou aux autres membres de la famille représentant le</w:t>
      </w:r>
    </w:p>
    <w:p>
      <w:r>
        <w:rPr>
          <w:b/>
        </w:rPr>
        <w:t>E. 10</w:t>
      </w:r>
    </w:p>
    <w:p>
      <w:r>
        <w:t>Par projet de décision du 29 janvier 2018, l’OAI a rejeté la demande de prestations, au motif que l’assurée, personne non-active professionnellement, présentait un degré d’invalidité de 30 %, lequel était inférieur au seuil de 40 % qui ouvrait droit à une rente.</w:t>
      </w:r>
    </w:p>
    <w:p>
      <w:r>
        <w:rPr>
          <w:b/>
        </w:rPr>
        <w:t>E. 11</w:t>
      </w:r>
    </w:p>
    <w:p>
      <w:r>
        <w:t>Le 11 avril 2018, l’assurée, représentée par l’association pour la permanence de défense des patients et des assurés (ci-après : APAS), a contesté le refus de rente</w:t>
      </w:r>
    </w:p>
    <w:p>
      <w:r>
        <w:t>A/4432/2018 - 4/13 - d’invalidité, en faisant valoir que les conclusions de l’enquête ménagère ne pouvaient pas être suivies. Dans la mesure où l’assurée avait explicitement indiqué à l’enquêtrice que, sans atteinte à sa santé, elle aurait travaillé en qualité de masseuse à temps plein, il n’y avait pas lieu de retenir que le statut de personne non active consacrant tout son temps à ses travaux habituels. L’OAI n’avait au demeurant pas pris en compte l’avis du Dr I______ du 30 novembre 2017, lequel aurait dû être préalablement soumis à l’expert. Enfin, dans la mesure où l’assurée présentait des troubles psychiques, l’impact de l’atteinte sur sa capacité à réaliser des tâches ménagères devait être effectué par un médecin et non par une infirmière.</w:t>
      </w:r>
    </w:p>
    <w:p>
      <w:r>
        <w:rPr>
          <w:b/>
        </w:rPr>
        <w:t>E. 12</w:t>
      </w:r>
    </w:p>
    <w:p>
      <w:r>
        <w:t>Le 27 juin 2018, l’assurée a fait parvenir un nouveau rapport médical du Dr I______, daté du 28 mai 2018, dans lequel ce dernier a observé une rechute dépressive sévère avec aboulie, un ralentissement psychomoteur, des idées suicidaires, une anhédonie, une perte totale de la motivation, un trouble de la mémoire récurrente et un isolement social et affectif depuis décembre 2017. La capacité de travail était nulle jusqu’au 31 mai 2017, de 50 % du 1er juin 2017 au 30 novembre 2017, puis à nouveau nulle du 1er décembre 2017 à ce jour. Elle devait être réévaluée dans six à douze mois.</w:t>
      </w:r>
    </w:p>
    <w:p>
      <w:r>
        <w:rPr>
          <w:b/>
        </w:rPr>
        <w:t>E. 13</w:t>
      </w:r>
    </w:p>
    <w:p>
      <w:r>
        <w:t>Dans une « note statut » du 29 juin 2018, l’OAI a confirmé le statut de ménagère.</w:t>
      </w:r>
    </w:p>
    <w:p>
      <w:r>
        <w:rPr>
          <w:b/>
        </w:rPr>
        <w:t>E. 14</w:t>
      </w:r>
    </w:p>
    <w:p>
      <w:r>
        <w:t>Le 29 octobre 2018, le Dr I______ a rempli un rapport médical AI, attestant n’avoir plus revu l’assurée depuis avril 2018. La capacité de travail de l’intéressée était de 50 % dès le 1er juin 2017 et jusqu’à ce jour.</w:t>
      </w:r>
    </w:p>
    <w:p>
      <w:r>
        <w:rPr>
          <w:b/>
        </w:rPr>
        <w:t>E. 15</w:t>
      </w:r>
    </w:p>
    <w:p>
      <w:r>
        <w:t>Par décision du 13 novembre 2018, l’OAI a rejeté la demande de l’assurée, faute de nouveaux éléments. Concernant son statut économique et après avoir à nouveau effectué une analyse approfondie de sa situation, le statut de ménagère était confirmé.</w:t>
      </w:r>
    </w:p>
    <w:p>
      <w:r>
        <w:rPr>
          <w:b/>
        </w:rPr>
        <w:t>E. 16</w:t>
      </w:r>
    </w:p>
    <w:p>
      <w:r>
        <w:t>Par acte du 17 décembre 2018, l’assurée, représentée par APAS, a interjeté recours devant la chambre des assurances sociales de la Cour de justice (ci-après : CJCAS) contre cette décision, concluant, avec suite de frais et dépens, à son annulation et à ce que le droit de l’assurée à toutes les prestations de l’AI soit constaté. Préalablement, elle a sollicité la réalisation d’une expertise judiciaire psychiatrique et requis un délai pour compléter son recours. Elle a contesté le statut de personne non active, la capacité de travail de 50 % et les limitations retenues par l’enquête ménagère.</w:t>
      </w:r>
    </w:p>
    <w:p>
      <w:r>
        <w:rPr>
          <w:b/>
        </w:rPr>
        <w:t>E. 17</w:t>
      </w:r>
    </w:p>
    <w:p>
      <w:r>
        <w:t>Le 3 janvier 2019, la chambre de céans a accordé à l’assurée le délai sollicité pour compléter son recours.</w:t>
      </w:r>
    </w:p>
    <w:p>
      <w:r>
        <w:rPr>
          <w:b/>
        </w:rPr>
        <w:t>E. 18</w:t>
      </w:r>
    </w:p>
    <w:p>
      <w:r>
        <w:t>L’assurée ne s’est pas manifestée dans le délai imparti. Le 30 janvier 2019, son conseil a indiqué à la chambre de céans qu’il avait cessé d’occuper, l’élection de domicile étant révoquée.</w:t>
      </w:r>
    </w:p>
    <w:p>
      <w:r>
        <w:rPr>
          <w:b/>
        </w:rPr>
        <w:t>E. 19</w:t>
      </w:r>
    </w:p>
    <w:p>
      <w:r>
        <w:t>Le 4 février 2019, la chambre de céans a spontanément prolongé au 26 février 2019 le délai pour compléter son recours, délai qui a encore été prolongé au</w:t>
      </w:r>
    </w:p>
    <w:p>
      <w:r>
        <w:t>A/4432/2018 - 5/13 - 25 mars 2019. Les multiples tentatives en vue d’atteindre l’assurée ont toutefois échoué.</w:t>
      </w:r>
    </w:p>
    <w:p>
      <w:r>
        <w:rPr>
          <w:b/>
        </w:rPr>
        <w:t>E. 20</w:t>
      </w:r>
    </w:p>
    <w:p>
      <w:r>
        <w:t>Par réponse du 21 mai 2019, l’OAI a conclu au rejet du recours, reprenant la motivation de sa décision du 13 novembre 2018. L’expertise psychiatrique réalisée le 10 octobre 2017 remplissait tous les réquisits jurisprudentiels pour se voir reconnaître une pleine valeur probante. L’assurée n’avait jamais exercé d’activité lucrative en Suisse, de sorte que c’était à juste titre que l’OAI avait retenu le statut de ménagère. L’enquête économique sur le ménage, effectuée au domicile de l’assurée par une personne spécialisée dans ce genre d’examen, remplissait également toutes les exigences auxquelles la jurisprudence soumettait la valeur probante d’un tel document.</w:t>
      </w:r>
    </w:p>
    <w:p>
      <w:r>
        <w:rPr>
          <w:b/>
        </w:rPr>
        <w:t>E. 21</w:t>
      </w:r>
    </w:p>
    <w:p>
      <w:r>
        <w:t>La chambre de céans a transmis cette écriture à l’assurée. Le pli a été retourné avec la mention « destinataire introuvable à l’adresse indiquée ». EN DROIT 1. Conformément à l’art. 134 al. 1 let. a ch. 2 de la loi sur l’organisation judiciaire, du</w:t>
      </w:r>
    </w:p>
    <w:p>
      <w:r>
        <w:rPr>
          <w:b/>
        </w:rPr>
        <w:t>E. 26</w:t>
      </w:r>
    </w:p>
    <w:p>
      <w:r>
        <w:t>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56 LPGA ; art. 62 al. 1 de la de loi sur la procédure administrative du 12 septembre 1985 [LPA - E 5 10]). Interjeté dans la forme et le délai prévus par la loi, le recours est recevable (art. 56 ss LPGA et 62 ss LPA). 4. Le litige porte sur le droit de la recourante à une rente d’invalidité, singulièrement sur son statut.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w:t>
      </w:r>
    </w:p>
    <w:p>
      <w:r>
        <w:t>A/4432/2018 - 6/13 -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6.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 8. Tant lors de l’examen initial du droit à la rente qu’à l’occasion d’une révision de celle-ci (art. 17 LPGA), il faut examiner sous l’angle des art. 4 et 5 LAI quelle méthode d’évaluation de l’invalidité il convient d’appliquer (art. 28a LAI, en corrélation avec les art. 27 ss du règlement sur l’assurance-invalidité du 17 janvier 1961 [RAI - RS 831.201]).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w:t>
      </w:r>
    </w:p>
    <w:p>
      <w:r>
        <w:t>A/4432/2018 - 7/13 -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 ATF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 ATF 137 V 334 consid. 3.2 ; ATF 125 V 146 consid. 2c ainsi que les références). 9.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une telle enquête a valeur probante.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w:t>
      </w:r>
    </w:p>
    <w:p>
      <w:r>
        <w:t>A/4432/2018 - 8/13 -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 arrêt du Tribunal fédéral 9C_625/2017 du 26 mars 2018 consid. 6.2 et arrêt du Tribunal fédéral des assurances I 733/06 du 16 juillet 2007). c.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 arrêt du Tribunal fédéral 9C_785/2014). d.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 Toutefois,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w:t>
      </w:r>
    </w:p>
    <w:p>
      <w:r>
        <w:t>A/4432/2018 - 9/13 - e.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 arrêt du Tribunal fédéral I 257/04 du 17 mars 2005).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11. En l’occurrence, l’intimé a considéré que le statut de la recourante était celui de ménagère. Se fondant sur l’enquête économique sur le ménage du 20 décembre 2017, concluant à un empêchement dans le ménage, pondéré avec</w:t>
      </w:r>
    </w:p>
    <w:p>
      <w:r>
        <w:t>A/4432/2018 - 10/13 - exigibilité, à un taux de 30 %, l’intimé a refusé à la recourante tout droit à une rente d'invalidité. a. La recourante conteste en premier lieu le statut de ménagère retenu par l’intimé. Elle fait valoir que, sans atteinte à la santé, elle aurait travaillé comme masseuse à plein temps. Elle précise qu’elle est titulaire d’un diplôme et que ce travail lui plaît. En l’occurrence, contrairement à ce que soutient l’intéressée, son statut ne saurait être celui d’une personne active. En effet, il n’est pas contesté que, dès son arrivée en Suisse, la recourante n’a jamais travaillé. Elle a certes été employée en qualité de secrétaire au Brésil en 1996 mais a cessé toute activité lucrative depuis 2000, soit cinq ans avant son arrivée en Suisse et treize ans avant l’atteinte à sa santé, dont la survenance en 2013 n’est pas non plus contestée. La recourante ne prétend pas avoir cherché du travail, ni avoir été empêchée de débuter une activité professionnelle. Contrairement à ce qu’elle prétend, le seul fait d’avoir terminé une formation de masseuse ne saurait être considérée comme suffisante pour établir la volonté de la recourante de retravailler. Dans ces conditions, il convient de confirmer le statut de ménagère de la recourante. b. La recourante conteste ensuite la valeur probante de l’expertise psychiatrique du 10 octobre 2017. Se fondant sur les rapports du Dr I______ des 30 novembre 2017 et 28 mai 2018, elle fait valoir que sa capacité de travail est entière depuis 2013, après une brève amélioration entre juin et novembre 2017. En l’occurrence, l’expertise repose sur une anamnèse complète, effectuée en connaissance du dossier médical, sur les indications subjectives de l’assurée, des observations cliniques ainsi qu’une discussion détaillée, dont on précisera qu’elle suit à juste titre la grille d’analyse prescrite par la jurisprudence en matière de troubles psychiques (ATF 143 V 418 consid. 6-7 ; ATF 141 V 281 consid. 4.3-4.4). En outre, ses conclusions sont motivées, de sorte qu’elle satisfait aux réquisits jurisprudentiels topiques en matière de valeur probante. Dans cette expertise, il ressort notamment que la recourante présente une immaturité affective associée à l’adoption de positions de dépendance affective de longue date. Ce trouble a conditionné une fragilité psychique par rapport au jugement d’autrui, la tendance à choisir dans une compulsion de répétition des relations amenant de la souffrance et un sentiment tenace d’insuffisance existentielle. Après 2013 et face à l’échec de sa deuxième relation de couple, placée sous le signe d’une dépendance aux élans masochistes, elle a développé une série de symptômes anxieux qui dominent le tableau clinique et une décompensation dépressive actuellement d’intensité légère. L’expert en a conclu que la recourante présentait des troubles anxieux mixtes depuis 2013, un trouble dépressif récurrent, épisode actuel léger dès 2013 et un trouble de la personnalité dépendante dès le début de l’âge adulte. Lorsqu’une appréciation repose sur une évaluation médicale complète, comme l’est celle du Dr H______, elle ne saurait être remise en cause pour le seul motif qu’un</w:t>
      </w:r>
    </w:p>
    <w:p>
      <w:r>
        <w:t>A/4432/2018 - 11/13 - ou plusieurs médecins ont une opinion divergente. Pour qu’il en aille différemment, il appartient à la partie recourante de mettre en évidence des éléments objectivement vérifiables – de nature notamment clinique ou diagnostique – qui y auraient été ignorés et qui seraient suffisamment pertinents pour en remettre en cause le bien-fondé (arrêt du Tribunal fédéral 9C_578/2009 du 29 décembre 2009 consid. 3.2). La recourante se prévaut du rapport du Dr I______ du 30 novembre 2018, dans lequel le médecin a diagnostiqué des épisodes dépressifs récurrents sévères avec aboulie, anhédonie, ralentissement psychomoteur, troubles de la concentration, isolement affectif et social (F 33.2) depuis le début de sa prise en charge en 2013 jusqu’au début de l’été 2017. S’il est vrai que ce diagnostic diffère de celui d’épisode dépressif léger retenu par le Dr H______, force est de constater que le Dr I______ rejoint les conclusions de l’expert s’agissant de la capacité de travail de la recourante. Le Dr I______ a certes observé, dans son rapport du 28 mai 2018, une rechute dépressive sévère avec aboulie ayant entraîné une incapacité totale de travailler dès le 1er décembre 2017 à ce jour. Or, questionné à ce sujet par l’intimé, le Dr I______ est revenu sur sa position dans un rapport médical subséquent, dans lequel il s’est limité à retenir une capacité de travail de 50 % du 1er juin 2017 à ce jour (cf. rapport médical AI du 29 octobre 2018). La conclusion émise dans le rapport du 28 mai 2018 s’agissant d’une aggravation de l’état de santé de la recourante dès le 1er décembre 2017 paraît ainsi incohérente. Elle se fonde au demeurant sur une appréciation médicale, soit une rechute dépressive sévère avec aboulie, un ralentissement psychomoteur, des idées suicidaires, une anhédonie, une perte totale de la motivation, un trouble de la mémoire récurrente et un isolement social et affectif depuis décembre 2017, qui ne trouve aucun appui dans le dossier. Ces diagnostics n’ont du reste pas non plus été mentionnés dans le rapport médical AI du Dr I______ du 29 octobre 2018. Dans ces conditions, il y a lieu de retenir qu’aucun élément objectivement vérifiable ne permet de remettre en cause le bien-fondé des conclusions de l’expert s’agissant de la capacité de travail de la recourante. C’est partant à bon droit que l’intimé s’est rallié aux conclusions de l’expertise réalisée en 2017 par le Dr H______. Il n’y a donc pas lieu d’ordonner, comme le requiert la recourante, la réalisation d’une nouvelle expertise psychiatrique. En tout état de cause, force est de constater que les constatations et conclusions de l’expertise psychiatrique relativement à la capacité à effectuer les tâches ménagères de la recourante ne sont pas contraires au rapport d’enquête économique sur le ménage retenant un empêchement pondéré avec exigibilité de 30%. En effet, l’expertise psychiatrique souligne que la recourante se réveille à 07h00 pour préparer son fils pour l’école. À midi, elle réchauffe la nourriture amenée régulièrement par son amie Elena. Le soir, elle passe du temps avec son fils et ils mangent ensemble. Son amie l’assiste dans la gestion de son quotidien, lui faisant des commissions et lui apportant de la nourriture pour son fils quasiment tous les</w:t>
      </w:r>
    </w:p>
    <w:p>
      <w:r>
        <w:t>A/4432/2018 - 12/13 - jours. Le Dr I______ avait du reste également observé que la capacité de travail de 50 % correspondait aux données objectives notées dans la journée type de la recourante. Tenant compte du fait que la recourante est logée dans un hôtel et qu’elle est assistée dans ses tâches par son fils, âgé de 14 ans, l’empêchement avec exigibilité retenu par l’enquêtrice concernant les champs d’activités de l’alimentation (30 %), de l’entretien du logement (40 %), des emplettes et courses diverses (30 %), de la lessive et entretien des vêtements (20 %), ainsi que des soins aux enfants (25 %) n’est ainsi pas critiquable. Le rapport a en effet été élaboré par une infirmière qualifiée en connaissance de la situation médicale de la recourante. Contrairement à l’avis de l’intéressée, l’enquête économique tient compte, comme mentionné sous « atteinte à la santé », de son état dépressif et de son trouble anxieux mixte. Il prend également en considération sa situation locale et résume de manière détaillée ses explications s’agissant de chaque activité. L’enquêtrice a précisé les empêchements dans les différents champs d’activité et l’aide exigible des proches (fils et amie). Les activités que la recourante peut effectuer seule ou qu’elle doit au contraire déléguer à ses proches sont décrites avec précision. Enfin, l’aide du fils a été retenue par l’enquêtrice dans une mesure limitée, en retenant qu’il avait lui-même des problèmes psychologiques pour lesquels il était étroitement suivi. Il n’y a donc pas de raison de s’écarter de cette appréciation. Ainsi, en l’absence d’élément permettant de mettre en doute l’évaluation de l’enquêtrice, laquelle n’est pas spécifiquement contestée par la recourante, celle-ci doit être confirmée. 12. Le recours ne peut qu’être rejeté. Compte tenu des circonstances du cas d’espèce, il sera renoncé à un émolument. * * * * * *</w:t>
      </w:r>
    </w:p>
    <w:p>
      <w:r>
        <w:t>A/4432/2018 - 13/13 -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