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ATAS/1112/2016 vom 22. Dezember 2016</w:t>
      </w:r>
    </w:p>
    <w:p>
      <w:r>
        <w:t>GE Cour de justice, 2016-12-22, FR</w:t>
      </w:r>
    </w:p>
    <w:p>
      <w:r>
        <w:rPr>
          <w:b/>
        </w:rPr>
        <w:t xml:space="preserve">Quelle: </w:t>
      </w:r>
      <w:r>
        <w:t>https://mcp.opencaselaw.ch/entscheid/ge_gerichte_ATAS_1112_2016</w:t>
      </w:r>
    </w:p>
    <w:p>
      <w:r>
        <w:t>FR: GE_GERICHTE ATAS/1112/2016 du 22 décembre 2016</w:t>
      </w:r>
    </w:p>
    <w:p>
      <w:r>
        <w:t>IT: GE_GERICHTE ATAS/1112/2016 del 22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la SUVA de mettre fin au versement de la rente d’invalidité transitoire de l’assuré avec effet au 1er octobre 2012.</w:t>
      </w:r>
    </w:p>
    <w:p>
      <w:r>
        <w:rPr>
          <w:b/>
        </w:rPr>
        <w:t>E. 5</w:t>
      </w:r>
    </w:p>
    <w:p>
      <w:r>
        <w:t>L’art. 19 al. 3 LAA prévoit que le Conseil fédéral édicte des prescriptions détaillées sur la naissance du droit aux rentes lorsqu’on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OLAA, dont le premier alinéa prévoit que lorsqu’on ne peut plus attendre de la continuation du traitement médical une sensible amélioration de l’état de santé de l’assuré mais que la décision de l’AI concernant la réadaptation professionnelle n’interviendra que plus tard, une rente est provisoirement allouée dès la fin du traitement médical, calculée sur la base de l’incapacité de gain existante à ce moment-là. Le droit s’éteint : - a) dès la naissance du droit à des indemnités journalières de l’AI ; - b) avec la décision négative de l’AI concernant la réadaptation professionnelle ; - c) avec la fixation de la rente définitive. Il s’agit là d’une rente transitoire, destinée à permettre à l’assureur-accidents qui ne peut encore fixer définitivement le degré d’invalidité de l’assuré – faute de</w:t>
      </w:r>
    </w:p>
    <w:p>
      <w:r>
        <w:t>A/4383/2015 - 5/6 - connaître le résultat des mesures de réadaptation entreprises par l’assurance- invalidité – de verser néanmoins une rente d’invalidité sans attendre ce résultat. C’est donc une prestation temporaire, fixée provisoirement, et qui doit être allouée aussi longtemps que durent les mesures de réadaptation mises en œuvre par l’assurance-invalidité (ATF 139 V 514 consid. 2.3). Lorsque ces mesures de réadaptation ont été menées à chef, il incombe à l’assurance-accidents d’examiner les conditions du droit à une rente ordinaire d’invalidité, dont le versement pourra, cas échéant, être opéré rétroactivement afin de combler la lacune de prestations entre la fin du droit à la rente transitoire et le moment où la rente est versée.</w:t>
      </w:r>
    </w:p>
    <w:p>
      <w:r>
        <w:rPr>
          <w:b/>
        </w:rPr>
        <w:t>E. 6</w:t>
      </w:r>
    </w:p>
    <w:p>
      <w:r>
        <w:t>En l’occurrence, il ressort du dossier qu’en octobre 2012, la réadaptation professionnelle menée par l’OAI avait été menée à terme. L’intimée était donc fondée à mettre un terme au versement de la rente transitoire, raison pour laquelle le recours est rejeté. Cependant, il reste encore à l’intimée à se prononcer sur le droit éventuel de l’assuré à une rente ordinaire et la Cour de céans l’engage à le faire dans les plus brefs délais, puisque les faits remontent déjà à 2012, c'est-à-dire à quatre ans. A défaut de décision rapide, l’assuré pourrait légitimement envisager un recours pour déni de justice.</w:t>
      </w:r>
    </w:p>
    <w:p>
      <w:r>
        <w:t>A/4383/2015 - 6/6 -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