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ATAS/1112/2011 vom 24. November 2011</w:t>
      </w:r>
    </w:p>
    <w:p>
      <w:r>
        <w:t>GE Cour de justice, 2011-11-24, FR</w:t>
      </w:r>
    </w:p>
    <w:p>
      <w:r>
        <w:rPr>
          <w:b/>
        </w:rPr>
        <w:t xml:space="preserve">Quelle: </w:t>
      </w:r>
      <w:r>
        <w:t>https://mcp.opencaselaw.ch/entscheid/ge_gerichte_ATAS_1112_2011</w:t>
      </w:r>
    </w:p>
    <w:p>
      <w:r>
        <w:t>FR: GE_GERICHTE ATAS/1112/2011 du 24 novembre 2011</w:t>
      </w:r>
    </w:p>
    <w:p>
      <w:r>
        <w:t>IT: GE_GERICHTE ATAS/1112/2011 del 24 novembre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La LPGA est entrée en vigueur le 1er janvier 2003, entraînant la modification de nombreuses dispositions légales dans le domaine de l'assurance-accidents. Conformément au principe selon lequel les règles applicables sont celles en vigueur au moment où les faits juridiquement déterminants se sont produits (ATF 130 V 446 consid. 1.2.1, 127 V 467 consid. 1, 126 V 165 consid. 4b), le droit litigieux doit donc être examiné à l'aune des dispositions de la nouvelle législation. Il convient en outre de relever que les dispositions de la LPGA n'ont pas modifié les notions d'accident et d'invalidité (notamment) selon l'ancienne LAA et la jurisprudence du Tribunal fédéral y relative est toujours d'actualité. Enfin,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Interjeté dans les forme et délai légaux (art. 106 LAA dans sa teneur en vigueur depuis le 1er janvier 2003, en dérogation à l’art. 60 LPGA), le recours est recevable.</w:t>
      </w:r>
    </w:p>
    <w:p>
      <w:r>
        <w:t>A/2856/2011 - 4/7 -</w:t>
      </w:r>
    </w:p>
    <w:p>
      <w:r>
        <w:rPr>
          <w:b/>
        </w:rPr>
        <w:t>E. 4</w:t>
      </w:r>
    </w:p>
    <w:p>
      <w:r>
        <w:t>Le litige porte uniquement sur la question de savoir si le taux de l’indemnité pour atteinte à l’intégrité accordée à l’assuré suite à son accident peut être augmenté au- delà de 5% comme il le demande, pour tenir compte des conséquences subjectives de l’évènement sur son quotidien.</w:t>
      </w:r>
    </w:p>
    <w:p>
      <w:r>
        <w:rPr>
          <w:b/>
        </w:rPr>
        <w:t>E. 5</w:t>
      </w:r>
    </w:p>
    <w:p>
      <w:r>
        <w:t>Aux termes de l'art. 6 al. 1 LAA, si la loi n'en dispose pas autrement, les prestations d'assurance sont allouées en cas d'accident professionnel, d'accident non professionnel et de maladie professionnelle.</w:t>
      </w:r>
    </w:p>
    <w:p>
      <w:r>
        <w:rPr>
          <w:b/>
        </w:rPr>
        <w:t>E. 6</w:t>
      </w:r>
    </w:p>
    <w:p>
      <w:r>
        <w:t>Selon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Il sera équitablement tenu compte des aggravations prévisibles de l'atteinte à l'intégrité. Une révision (du droit à l'indemnité) n'est possible qu'en cas exceptionnel, si l'aggravation est importante et n'était pas prévisible (al. 4). De jurisprudence constante, la règle contenue à la première phrase de l’art. 36 al. 4 OLAA ne vise toutefois que les aggravations dont la survenance est vraisemblable et l'importance quantifiable (RAMA 1998 n° U 320 p. 602 consid. 3b).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«règle générale» (ch. 1 al. 1 de l'annexe). Pour les atteintes à l'intégrité spéciales ou qui ne figurent pas dans la liste, le barème est appliqué par analogie, en fonction de la gravité de l'atteinte (ch. 1 al. 2). La Division médicale de la SUVA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w:t>
      </w:r>
    </w:p>
    <w:p>
      <w:r>
        <w:t>A/2856/2011 - 5/7 - elles sont compatibles avec l'annexe 3 à l'OLAA (ATF 124 V 209, consid. 4 a/cc et 116 V 157consid. 3a).</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ATFA non publié I 592/99du 13 mars 2000).</w:t>
      </w:r>
    </w:p>
    <w:p>
      <w:r>
        <w:rPr>
          <w:b/>
        </w:rPr>
        <w:t>E. 8</w:t>
      </w:r>
    </w:p>
    <w:p>
      <w:r>
        <w:t>En l’espèce, les constatations du médecin conseil de l’intimée ne sont pas contestées. Il n’y a donc pas lieu d’ordonner une mesure d’instruction</w:t>
      </w:r>
    </w:p>
    <w:p>
      <w:r>
        <w:t>A/2856/2011 - 6/7 - complémentaire sous forme d’examen du recourant par le médecin-conseil dans la mesure où le dossier fourni par le médecin traitant est fort complet et a permis au médecin conseil de se forger une opinion dont il n’est pas allégué qu’elle soit erronée. On relèvera en particulier que le Dr A___________, dans son avis du 21 avril 2011, a bien pris en compte les dysesthésies de contact aux pulpes des troisième et cinquième doigts, l’enraidissement du troisième et le déficit d’extension des quatrième et cinquième. C’est précisément pour prendre en compte tous ces éléments que le médecin conseil de l’intimée a admis un taux d’atteinte de 5% bien qu’en vertu de la table 3.5 de la SUVA, un tel taux ne soit admis qu’en cas d’imputation touchant deux doigts. Le médecin a en outre expliqué les raisons pour lesquelles il ne pouvait retenir un taux de 10%, celui-ci correspondant à des mutilations beaucoup plus sévères. Enfin, on rappellera qu’il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113 V 221 consid. 4b, et les références; voir aussi ATF 125 II 175 consid. 2d). Eu égard à ce qui précède, c’est donc à juste titre que l’intimée a fixé le taux de l’indemnité reconnue à l’assuré à 5% dans le cas présent. Le recours est donc rejeté.</w:t>
      </w:r>
    </w:p>
    <w:p>
      <w:r>
        <w:t>A/2856/2011 - 7/7 -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