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ATAS/1111/2019 vom 3. Dezember 2019</w:t>
      </w:r>
    </w:p>
    <w:p>
      <w:r>
        <w:t>GE Cour de justice, 2019-12-03, FR</w:t>
      </w:r>
    </w:p>
    <w:p>
      <w:r>
        <w:rPr>
          <w:b/>
        </w:rPr>
        <w:t xml:space="preserve">Quelle: </w:t>
      </w:r>
      <w:r>
        <w:t>https://mcp.opencaselaw.ch/entscheid/ge_gerichte_ATAS_1111_2019</w:t>
      </w:r>
    </w:p>
    <w:p>
      <w:r>
        <w:t>FR: GE_GERICHTE ATAS/1111/2019 du 3 décembre 2019</w:t>
      </w:r>
    </w:p>
    <w:p>
      <w:r>
        <w:t>IT: GE_GERICHTE ATAS/1111/2019 del 3 dicembre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compte tenu de la suspension du délai de recours du 15 juillet au 15 août (art. 38 al. 4 let. b et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t>A/3043/2019 - 5/10 -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w:t>
      </w:r>
    </w:p>
    <w:p>
      <w:r>
        <w:t>A/3043/2019 - 6/10 -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 lorsque ce moment remonte à plus de trois mois avant l’inscription au chômage, l’examen des recherches d’emploi porte seulement sur les trois derniers mois précédant l’annonce au chômage (Bulletin LACI IC ch. B314).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ou durant les trois mois précédant l’échéance d’un contrat de durée limitée,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RMC - J 2 20.01).</w:t>
      </w:r>
    </w:p>
    <w:p>
      <w:r>
        <w:t>A/3043/2019 - 7/10 -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w:t>
      </w:r>
    </w:p>
    <w:p>
      <w:r>
        <w:rPr>
          <w:b/>
        </w:rPr>
        <w:t>E. 4</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w:t>
      </w:r>
    </w:p>
    <w:p>
      <w:r>
        <w:t>A/3043/2019 - 8/10 -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w:t>
      </w:r>
    </w:p>
    <w:p>
      <w:r>
        <w:rPr>
          <w:b/>
        </w:rPr>
        <w:t>E. 5</w:t>
      </w:r>
    </w:p>
    <w:p>
      <w:r>
        <w:t>a. En l’espèce, la recourante était engagée pour une durée limitée à une année, arrivant à échéance le 14 février 2019. Il est possible que – comme elle l’a indiqué – son employeur avait évoqué l’éventualité que son contrat de durée déterminée se poursuive au-delà de son échéance précitée et soit transformé en contrat de durée indéterminée. Aucune assurance ne lui a cependant été donnée à cet égard ; la recourante ne prétend d’ailleurs pas le contraire. D’après la pièce 3 qu’elle a elle-même produite, soit la lettre que son employeur lui a remise en mains propres le 12 décembre 2018, c’est à cette date-ci qu’il lui a été confirmé que son contrat de travail prendrait fin le 14 février 2019 (étant précisé qu’elle serait payée jusqu’à cette date-ci mais que son dernier jour de travail serait le 30 décembre 2018). En l’absence de toute assurance contraire donnée, en particulier d’un contrat signé (Bulletin LACI IC, ch. D33), il n’en était pas moins possible et même probable dès avant le 12 décembre 2018 qu’elle serait sans emploi dès le 15 février 2019. La recourante devait donc se mettre en quête d’un emploi dès au moins la mi-novembre 2018. Or – et elle-même l’admet – elle ne l’a pas fait, se contentant d’effectuer deux recherches personnelles d’emploi entre le 15 novembre et le 31 décembre 2018, les 12 et 13 décembre 2018. b. En revanche, comme l’intimé l’a admis dans sa réponse au recours, il faut retenir qu’en janvier et en février 2018, la recourante a accompli des efforts suffisants en vue de trouver un emploi, soit dix recherches personnelles d’emploi en janvier et également dix en février 2019 (dont cinq avant le 15 de ce mois-ci), étant ajouté que le nombre requis doit se compter par période de contrôle, donc par mois (art. 27a OACI ; Bulletin LACI IC ch. B323 phr. 1). Il n’empêche que sur les trois mois à prendre en compte (soit du 15 novembre 2018 au 14 février 2019), le nombre de recherches personnelles d’emploi effectuées par la recourante a été insuffisant. Comme le SECO l’a indiqué dans son Audit Letter 2017/1 de mars 2017, lorsqu’un assuré n’a entrepris aucune recherche d’emploi durant un mois sur les trois entrant en considération, les recherches de travail fournies avant le chômage doivent être considérées comme étant insuffisantes dans leur ensemble, même si les efforts fournis durant les autres mois sont suffisants (p. 4 in fine). Dans un cas dans lequel, comme en l’espèce, les recherches d’emploi n’ont pas eu lieu (ou ont été insuffisantes) durant le premier des trois mois à prendre en compte mais ont ensuite été en augmentation croissante</w:t>
      </w:r>
    </w:p>
    <w:p>
      <w:r>
        <w:t>A/3043/2019 - 9/10 - et suffisants durant les suivants, il est envisageable de réduire la quotité de la sanction prévue par le barème du SECO parce que « l’assuré a intensifié ses efforts en vue de rechercher un emploi, plus la date de son inscription au chômage devenait imminente » (p. 6 in initio, exemple 2). c. La situation financière précaire d’un assuré n’est par contre pas un élément à prendre en considération pour fixer la quotité de la sanction (ATF 113 V 154 consid. 3). Il n’est pas non plus déterminant que la recourante a dû s’occuper de son enfant et a subi une intervention médicale, d’autant moins qu’il n’est nullement établi et il n’apparaît pas même vraisemblable que cela l’ait empêché, de la mi-novembre à fin décembre 2018, d’effectuer un nombre suffisant de recherches d’emploi durant cette période, d’autant plus d’ailleurs qu’elle était alors occupée à un taux d’activité de 60 %. d. D’après le barème du SECO (Bulletin LACI IC, ch. D79), en cas de recherches insuffisantes d’emploi durant un délai de congé de trois mois et plus, le nombre de jours de suspension à prononcer est de neuf à douze. Comme l’intimé l’a relevé dans ses écritures, il se justifie, pour le motif précité (consid. 5b), de réduire la sanction prononcée, en l’occurrence de neuf à cinq jours de suspension.</w:t>
      </w:r>
    </w:p>
    <w:p>
      <w:r>
        <w:rPr>
          <w:b/>
        </w:rPr>
        <w:t>E. 6</w:t>
      </w:r>
    </w:p>
    <w:p>
      <w:r>
        <w:t>Le recours doit donc être admis partiellement et la décision attaquée être réformée dans le sens précité.</w:t>
      </w:r>
    </w:p>
    <w:p>
      <w:r>
        <w:rPr>
          <w:b/>
        </w:rPr>
        <w:t>E. 7</w:t>
      </w:r>
    </w:p>
    <w:p>
      <w:r>
        <w:t>La procédure est gratuite (art. 61 let. a LPGA). * * * * *</w:t>
      </w:r>
    </w:p>
    <w:p>
      <w:r>
        <w:t>A/3043/2019 - 10/10 -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