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ATAS/1111/2017 vom 7. Dezember 2017</w:t>
      </w:r>
    </w:p>
    <w:p>
      <w:r>
        <w:t>GE Cour de justice, 2017-12-07, FR</w:t>
      </w:r>
    </w:p>
    <w:p>
      <w:r>
        <w:rPr>
          <w:b/>
        </w:rPr>
        <w:t xml:space="preserve">Quelle: </w:t>
      </w:r>
      <w:r>
        <w:t>https://mcp.opencaselaw.ch/entscheid/ge_gerichte_ATAS_1111_2017</w:t>
      </w:r>
    </w:p>
    <w:p>
      <w:r>
        <w:t>FR: GE_GERICHTE ATAS/1111/2017 du 7 décembre 2017</w:t>
      </w:r>
    </w:p>
    <w:p>
      <w:r>
        <w:t>IT: GE_GERICHTE ATAS/1111/2017 del 7 dicembre 2017</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RS/GE – E 5 10), la demande est recevable.</w:t>
      </w:r>
    </w:p>
    <w:p>
      <w:r>
        <w:rPr>
          <w:b/>
        </w:rPr>
        <w:t>E. 4</w:t>
      </w:r>
    </w:p>
    <w:p>
      <w:r>
        <w:t>Le litige porte sur la mainlevée de l'opposition faite au commandement de payer.</w:t>
      </w:r>
    </w:p>
    <w:p>
      <w:r>
        <w:rPr>
          <w:b/>
        </w:rPr>
        <w:t>E. 5</w:t>
      </w:r>
    </w:p>
    <w:p>
      <w:r>
        <w:t>La loi fédérale sur la prévoyance professionnelle, vieillesse, survivants et invalidité du 25 juin 1982 institue un régime d'assurance obligatoire des salariés (art. 2 al. 1 LPP).</w:t>
      </w:r>
    </w:p>
    <w:p>
      <w:r>
        <w:t>A/4202/2017 - 4/8 -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w:t>
      </w:r>
    </w:p>
    <w:p>
      <w:r>
        <w:rPr>
          <w:b/>
        </w:rPr>
        <w:t>E. 7</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8</w:t>
      </w:r>
    </w:p>
    <w:p>
      <w:r>
        <w:t>Aux termes du chiffre 10 du contrat d'adhésion signé en l'occurrence par la défenderesse, les cotisations sont exigibles en début de chaque année d'assurance (1er janvier). Lors de mutations intervenues en cours d'année, les contributions sont échues à la date d'entrée en vigueur correspondante. L'employeur s'engage à payer</w:t>
      </w:r>
    </w:p>
    <w:p>
      <w:r>
        <w:t>A/4202/2017 - 5/8 - les contributions dans les délais et à régler le compte au prorata jusqu'au 30 juin et 31 décembre de l'année en question, dans la mesure où celui-ci présente un solde en faveur de la Fondation.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aux procédures de sommation, aux mesures d'encaissement ainsi qu'à la dissolution du contrat.</w:t>
      </w:r>
    </w:p>
    <w:p>
      <w:r>
        <w:rPr>
          <w:b/>
        </w:rPr>
        <w:t>E. 9</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une partie de la créance de la demanderesse est née au plus tôt en janvier 2015, de sorte que la demande du 19 octobre 2017 est intervenue dans le délai de prescription de cinq ans.</w:t>
      </w:r>
    </w:p>
    <w:p>
      <w:r>
        <w:rPr>
          <w:b/>
        </w:rPr>
        <w:t>E. 10</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w:t>
      </w:r>
    </w:p>
    <w:p>
      <w:r>
        <w:t>A/4202/2017 - 6/8 -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w:t>
      </w:r>
    </w:p>
    <w:p>
      <w:r>
        <w:rPr>
          <w:b/>
        </w:rPr>
        <w:t>E. 11</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w:t>
      </w:r>
    </w:p>
    <w:p>
      <w:r>
        <w:t>A/4202/2017 - 7/8 - l'introduction de la procédure judiciaire ou administrative et le jugement définitif (seconde phrase). En l'occurrence, le commandement de payer a été notifié au défendeur le 1er avril 2017, date à laquelle le délai de péremption d’un an a commencé à courir (ATF 125 III 45 consid. 3b). Par conséquent, la poursuite n'était pas périmée lorsque la demanderesse a saisi la Chambre de céans, le 19 octobre 2017.</w:t>
      </w:r>
    </w:p>
    <w:p>
      <w:r>
        <w:rPr>
          <w:b/>
        </w:rPr>
        <w:t>E. 12</w:t>
      </w:r>
    </w:p>
    <w:p>
      <w:r>
        <w:t>En sa qualité d'employeur occupant des salariés, le défendeur devait être affilié à une caisse de prévoyance professionnelle et verser les primes convenues avec la demanderesse. Il ressort de l'ensemble des pièces produites par la demanderesse et de l'absence de réaction et de contestation du défendeur que l’entreprise de ce dernier est demeurée débitrice d'un montant de CHF 2'934.95 (recte : CHF 2'934.65) correspondant aux cotisations dues, intérêts et frais de sommation compris. En ce qui concerne les frais de poursuite, ils sont d'office supportés par le débiteur lorsque la poursuite aboutit (JdT 1974 III 32). Les frais dus par le défendeur - notamment les frais de sommation, de résiliation du contrat et de mise en poursuite - sont par ailleurs prévus aux chiffres 12 et 17 du contrat d'adhésion, ainsi que par les chiffres 2 et 3 du règlements sur les coûts, faisant partie du contrat. Quant aux intérêts contractuels réclamés par la demanderesse et les intérêts de 5% sur la créance en capital, ils sont dus en vertu, respectivement, des art. 66 al. 2 LPP et 104 al. 1 CO.</w:t>
      </w:r>
    </w:p>
    <w:p>
      <w:r>
        <w:rPr>
          <w:b/>
        </w:rPr>
        <w:t>E. 13</w:t>
      </w:r>
    </w:p>
    <w:p>
      <w:r>
        <w:t>La demanderesse conclut également à ce que le défendeur soit condamné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l'espèce, il ne sera pas octroyé de dépens à la demanderesse, les conditions de l'art. 89H al. 1 2ème phrase LPA n'étant pas remplies. Pour ces motifs, il y a lieu d'admettre la demande et de prononcer la mainlevée définitive de l'opposition au commandement de payer de la poursuite 2______ . Pour le surplus, la procédure est gratuite.</w:t>
      </w:r>
    </w:p>
    <w:p>
      <w:r>
        <w:t>A/4202/2017 - 8/8 -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