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ATAS/1110/2022 vom 15. Dezember 2022</w:t>
      </w:r>
    </w:p>
    <w:p>
      <w:r>
        <w:t>GE Cour de justice, 2022-12-15, FR</w:t>
      </w:r>
    </w:p>
    <w:p>
      <w:r>
        <w:rPr>
          <w:b/>
        </w:rPr>
        <w:t xml:space="preserve">Quelle: </w:t>
      </w:r>
      <w:r>
        <w:t>https://mcp.opencaselaw.ch/entscheid/ge_gerichte_ATAS_1110_2022</w:t>
      </w:r>
    </w:p>
    <w:p>
      <w:r>
        <w:t>FR: GE_GERICHTE ATAS/1110/2022 du 15 décembre 2022</w:t>
      </w:r>
    </w:p>
    <w:p>
      <w:r>
        <w:t>IT: GE_GERICHTE ATAS/1110/2022 del 15 dicembre 2022</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délai de recours est de trente jours (art. 56 LPGA ; art. 62 al. 1 de la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L'objet du litige porte sur la responsabilité du recourant pour le dommage subi par l’intimée du fait du défaut de paiement des cotisations sociales par la société.</w:t>
      </w:r>
    </w:p>
    <w:p>
      <w:r>
        <w:rPr>
          <w:b/>
        </w:rPr>
        <w:t>E. 5.1</w:t>
      </w:r>
    </w:p>
    <w:p>
      <w:r>
        <w:t>À titre liminaire, il convient d’examiner si la prétention de l’intimée est prescrite, comme l’allègue le recourant.</w:t>
      </w:r>
    </w:p>
    <w:p>
      <w:r>
        <w:rPr>
          <w:b/>
        </w:rPr>
        <w:t>E. 5.2</w:t>
      </w:r>
    </w:p>
    <w:p>
      <w:r>
        <w:t>Le 1er janvier 2020 est entrée en vigueur la révision du droit de la prescription de la loi fédérale du 30 mars 1911, complétant le Code civil suisse (CO, Code des obligations - RS 220), entraînant la modification de l’art. 52 al. 3 LAVS avec pour résultat un allongement du délai de prescription relative de deux à trois ans et celui de prescription absolue de cinq à dix ans.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w:t>
      </w:r>
    </w:p>
    <w:p>
      <w:r>
        <w:t>A/364/2022 - 6/15 -</w:t>
      </w:r>
    </w:p>
    <w:p>
      <w:r>
        <w:rPr>
          <w:b/>
        </w:rPr>
        <w:t>E. 5.3</w:t>
      </w:r>
    </w:p>
    <w:p>
      <w:r>
        <w:t>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que les délais ne sont plus sauvegardés une fois pour toutes avec les décisions relatives aux dommages-intérêts ; le droit à la réparation du dommage au sens de l'art. 52 al. 1 LAVS peut donc aussi se prescrire durant la procédure d'opposition ou la procédure de recours qui s'ensuit (ATF 135 V 74 consid. 4.2).</w:t>
      </w:r>
    </w:p>
    <w:p>
      <w:r>
        <w:rPr>
          <w:b/>
        </w:rPr>
        <w:t>E. 5.4</w:t>
      </w:r>
    </w:p>
    <w:p>
      <w:r>
        <w:t>Le dommage survient dès que l’on doit admettre que les cotisations dues ne peuvent plus être recouvrées, pour des motifs juridiques ou de fait (ATF 129 V 193 consid. 2.2 ;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de cinq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En cas de faillite, le moment de la connaissance du dommage correspond en règle générale à celui du dépôt de l’état de collocation ou celui de la publication de la suspension de la liquidation de la faillite faute d’actifs (ATF 129 V 193 consid. 2.3).</w:t>
      </w:r>
    </w:p>
    <w:p>
      <w:r>
        <w:rPr>
          <w:b/>
        </w:rPr>
        <w:t>E. 5.5</w:t>
      </w:r>
    </w:p>
    <w:p>
      <w:r>
        <w:t>Tandis que le juge ne peut interrompre la prescription que par une ordonnance ou une décision, « chaque acte judiciaire des parties » suffit à produire cet effet (art. 138 al. 1 CO).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w:t>
      </w:r>
    </w:p>
    <w:p>
      <w:r>
        <w:rPr>
          <w:b/>
        </w:rPr>
        <w:t>E. 6</w:t>
      </w:r>
    </w:p>
    <w:p>
      <w:r>
        <w:t>En l’espèce, la faillite de la société a été prononcée définitivement en date du 16 mars 2017. L’intimée a produit sa créance provisoirement le 8 mai 2017 et</w:t>
      </w:r>
    </w:p>
    <w:p>
      <w:r>
        <w:t>A/364/2022 - 7/15 - définitivement le 31 mai 2019. L’état de collocation prévoyant un dividende de 0% pour les créanciers de 2ème classe a été déposé le 23 avril 2019.</w:t>
      </w:r>
    </w:p>
    <w:p>
      <w:r>
        <w:rPr>
          <w:b/>
        </w:rPr>
        <w:t>E. 6.1</w:t>
      </w:r>
    </w:p>
    <w:p>
      <w:r>
        <w:t>Conformément à la jurisprudence du Tribunal fédéral citée supra, il sied de se fonder sur le moment du prononcé de la faillite pour fixer le dies a quo de la survenance du dommage, soit le 16 mars 2017. Le délai de prescription absolue de cinq ans n’était pas échu au moment où la décision sur opposition du 21 décembre 2021 a été rendue.</w:t>
      </w:r>
    </w:p>
    <w:p>
      <w:r>
        <w:rPr>
          <w:b/>
        </w:rPr>
        <w:t>E. 6.2</w:t>
      </w:r>
    </w:p>
    <w:p>
      <w:r>
        <w:t>S’agissant du délai de prescription relatif de deux ans, l’intimée allègue qu’il a commencé à courir dès le moment du dépôt de l’état de collocation, soit le 23 avril 2019, qui correspond au dies a quo de la connaissance du dommage. Le recourant considère que l’intimée connaissait déjà le montant du dommage au moment de la faillite, en se fondant sur le fait que l’intimée lui avait déjà réclamé, en date du 3 mai 2017, le remboursement du dommage à hauteur de CHF 150’028.93. L’examen objectif de la teneur du courrier du 3 mai 2017 montre qu’il s’agit d’un récapitulatif des cotisations sociales restant dues à la caisse et d’un avertissement quant aux procédures légales qui s’ensuivraient si ce montant devait rester impayé, notamment la possibilité de demander réparation aux administrateurs de la société faillie. Dès lors, il est erroné de déduire de ce courrier que l’intimée connaissait, dès ce moment, le montant de son dommage. Etant rappelé que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En l’absence d’éléments objectifs démontrant que l’intimée connaissait avant le dépôt de l’état de collocation le montant de son dommage, il convient de retenir que le dies a quo du délai relatif de deux ans, correspond à la date du dépôt de l’état de collocation, soit le 23 avril 2019. Comme mentionné supra, tant la décision que l’opposition interrompent le délai de prescription de deux ans et font courir un nouveau délai de même durée (ATF 135 V 74 consid. 4.2.2). Le délai de deux ans a donc été interrompu, une première fois, lorsque la décision du 16 décembre 2019 a été rendue par l’intimé et a été interrompu à nouveau, lors de l’opposition du recourant en date du 28 janvier 2020. La décision sur opposition de réparation du dommage rendue par l’intimée date du 21 décembre 2021, soit moins de deux ans après le dernier acte interruptif de prescription du 28 janvier 2020.</w:t>
      </w:r>
    </w:p>
    <w:p>
      <w:r>
        <w:t>A/364/2022 - 8/15 - Dès lors, ni le délai relatif de deux ans ni le délai absolu de cinq ans ne sont échus.</w:t>
      </w:r>
    </w:p>
    <w:p>
      <w:r>
        <w:rPr>
          <w:b/>
        </w:rPr>
        <w:t>E. 7</w:t>
      </w:r>
    </w:p>
    <w:p>
      <w:r>
        <w:t>L’art. 14 al. 1 LAVS, en corrélation avec les art. 34 ss du règlement sur l’assurance-vieillesse et survivants du 31 octobre 1947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w:t>
      </w:r>
    </w:p>
    <w:p>
      <w:r>
        <w:rPr>
          <w:b/>
        </w:rPr>
        <w:t>E. 8.1</w:t>
      </w:r>
    </w:p>
    <w:p>
      <w:r>
        <w:t>Selon l’art. 52 al. 1 LAVS, l’employeur qui, intentionnellement ou par négligence grave, n’observe pas des prescriptions et cause ainsi un dommage à l’assurance, est tenu à réparation. L’obligation de l’employeur de percevoir les cotisations et de régler les comptes est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et les références).</w:t>
      </w:r>
    </w:p>
    <w:p>
      <w:r>
        <w:rPr>
          <w:b/>
        </w:rPr>
        <w:t>E. 8.2</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w:t>
      </w:r>
    </w:p>
    <w:p>
      <w:r>
        <w:rPr>
          <w:b/>
        </w:rPr>
        <w:t>E. 8.3</w:t>
      </w:r>
    </w:p>
    <w:p>
      <w:r>
        <w:t>Selon la jurisprudence,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w:t>
      </w:r>
    </w:p>
    <w:p>
      <w:r>
        <w:rPr>
          <w:b/>
        </w:rPr>
        <w:t>E. 12</w:t>
      </w:r>
    </w:p>
    <w:p>
      <w:r>
        <w:t>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La notion d’organe selon l’art. 52 LAVS est en principe identique à celle qui se dégage de l’art. 754 al. 1 CO. En matière de responsabilité des organes d’une société anonyme, l’art. 52 LAVS vise en première ligne les organes statutaires ou</w:t>
      </w:r>
    </w:p>
    <w:p>
      <w:r>
        <w:t>A/364/2022 - 9/15 - légaux de celle-ci, soit les administrateurs, l’organe de révision ou les liquidateurs (ATF 128 III 29 consid. 3a ; Thomas NUSSBAUMER, Les caisses de compensation en tant que parties à une procédure de réparation d’un dommage selon l’art. 52 LAVS, in RCC 1991 p. 403).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 En l’espèce, à teneur de l’extrait du RC, le recourant avait la qualité d’organe formel de la société, soit administrateur, depuis l’année 2011 jusqu’au prononcé de la faillite. Compte tenu de ce qui précède et de sa qualité d’organe formel de la société, le recourant répond, à titre subsidiaire, du dommage causé par l’omission de la société de payer les cotisations sociales. Reste à examiner si les autres conditions de la responsabilité de l’art. 52 al. 1 LAVS sont réalisées. 10.1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w:t>
      </w:r>
    </w:p>
    <w:p>
      <w:r>
        <w:t>A/364/2022 - 10/15 -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arrêts du Tribunal fédéral 9C_344/2011 du 3 février 2012 consid. 4.3 ; 9C_289/2009 du 19 mai 2010 consid. 6.2). 10.2 Selon une jurisprudence constante, c'est la démission effective de l'organe qui fixe en principe les limites temporelles de la responsabilité (ATF 123 V 172 consid. 3a ; ATF 112 V 1 consid. 3c p. 4 ; arrêt du Tribunal fédéral 9C_713/2013 du 30 mai 2014 consid. 4.3.2). Un administrateur ne peut alors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n'ont déployé leurs effets qu'après le départ du conseil d'administration (ATF 126 V 61 consid. 4a ; arrêt du Tribunal fédéral des assurances H 263/02 du 6 février 2003 consid. 3.2). 10.3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w:t>
      </w:r>
    </w:p>
    <w:p>
      <w:r>
        <w:t>A/364/2022 - 11/15 - autres facteurs qui ont contribué à l’amener, en particulier le comportement de l’auteur (arrêt du Tribunal fédéral des assurances H 95/05 du 10 janvier 2007 consid. 4). 11.</w:t>
      </w:r>
    </w:p>
    <w:p>
      <w:r>
        <w:t>11.1 En l’occurrence, le recourant prétend ne pas être responsable du dommage en raison du fait qu’il ne s’occupait pas du paiement des salaires des employés et ignorait la situation financière difficile de la société, dissimulée par M. D______. Or, il ressort de l’audience de comparution personnelle du 20 octobre 2022 que le recourant avait déjà été plusieurs fois administrateur de start-up, une dizaine à son souvenir, ce qui démontre qu’il avait l’expérience de ce type de situation, ce d’autant plus que le domaine commercial de la société lui était familier en raison de sa formation d’ingénieur. S’y ajoute le fait que la société en question était hébergée dans les locaux de B______ et que le recourant a lui-même reconnu qu’il avait fréquemment des contacts avec M. D______, ce qui implique qu’il avait la possibilité, à tout le moins géographique, de se rendre dans les locaux de ladite société, de consulter les comptes, d’interroger le personnel et d’interpeller M. D______. Il avait également la possibilité de se rendre compte que le personnel avait été licencié dès lors qu’un simple transport sur place lui aurait permis de constater l’absence d’employés. Enfin, contrairement à ce que laisse entendre le recourant, il avait pu se rendre compte, au plus tard, au début de l’année 2015 que les loyers de la société restaient impayés ce qui était un signe indubitable de sa mauvaise santé financière et de la nécessité d’une intervention rapide. Étant précisé que la société avait déjà été interpellée par l’intimée, par courrier du</w:t>
      </w:r>
    </w:p>
    <w:p>
      <w:r>
        <w:rPr>
          <w:b/>
        </w:rPr>
        <w:t>E. 13</w:t>
      </w:r>
    </w:p>
    <w:p>
      <w:r>
        <w:t>En l’espèce, la quotité du dommage subi par la caisse, soit CHF 140'764.90, n’a pas été contestée par le recourant. Il sied de préciser que le montant en question ne comprend pas les cotisations d’assurance maternité, par CHF 710.65, conformément à l’arrêt de principe rendu par la chambre de céans par arrêt du 30 janvier 2020 (ATAS/79/2020) statuant que les cotisations sociales concernant l’assurance maternité genevoise ne sont pas incluses dans le dommage au sens de l’art. 52 LAVS, faute de base légale suffisante. Le montant total des cotisations sociales correspond aux montants produits dans la faillite de la société (production finale du 31 mai 2019).</w:t>
      </w:r>
    </w:p>
    <w:p>
      <w:r>
        <w:t>A/364/2022 - 14/15 - Il en est de même des frais administratifs et de poursuite. Le montant des intérêts moratoires semble en ligne avec celui déjà produit en date du 31 mai 2019 et qui a continué d’augmenter depuis lors et aucun indice ne permet d’en contester l’exactitude. Quant au montant des sommations, le détail est mentionné dans les pièces 6 et 7 fournies par l’intimée dans son chargé.</w:t>
      </w:r>
    </w:p>
    <w:p>
      <w:r>
        <w:rPr>
          <w:b/>
        </w:rPr>
        <w:t>E. 14</w:t>
      </w:r>
    </w:p>
    <w:p>
      <w:r>
        <w:t>Eu égard à ce qui précède, la décision de l’intimée ne prête pas le flanc à la critique et la chambre de céans n’a d’autre choix que de rejeter le recours.</w:t>
      </w:r>
    </w:p>
    <w:p>
      <w:r>
        <w:rPr>
          <w:b/>
        </w:rPr>
        <w:t>E. 15</w:t>
      </w:r>
    </w:p>
    <w:p>
      <w:r>
        <w:t>Pour le surplus, en l’absence de loi spéciale prévoyant des frais judiciaires, la procédure est gratuite (art. 61 let. fbis LPGA).</w:t>
      </w:r>
    </w:p>
    <w:p>
      <w:r>
        <w:t>A/364/2022 - 15/15 -</w:t>
      </w:r>
    </w:p>
    <w:p>
      <w:r>
        <w:t>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