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ATAS/110/2026 vom 12. Februar 2026</w:t>
      </w:r>
    </w:p>
    <w:p>
      <w:r>
        <w:t>GE Cour de justice, 2026-02-12, FR</w:t>
      </w:r>
    </w:p>
    <w:p>
      <w:r>
        <w:rPr>
          <w:b/>
        </w:rPr>
        <w:t xml:space="preserve">Quelle: </w:t>
      </w:r>
      <w:r>
        <w:t>https://mcp.opencaselaw.ch/entscheid/ge_gerichte_ATAS_110_2026</w:t>
      </w:r>
    </w:p>
    <w:p>
      <w:r>
        <w:t>FR: GE_GERICHTE ATAS/110/2026 du 12 février 2026</w:t>
      </w:r>
    </w:p>
    <w:p>
      <w:r>
        <w:t>IT: GE_GERICHTE ATAS/110/2026 del 12 febbraio 2026</w:t>
      </w:r>
    </w:p>
    <w:p>
      <w:pPr>
        <w:pStyle w:val="Heading2"/>
      </w:pPr>
      <w:r>
        <w:t>Erwägungen</w:t>
      </w:r>
    </w:p>
    <w:p>
      <w:r>
        <w:rPr>
          <w:b/>
        </w:rPr>
        <w:t>E. 22</w:t>
      </w:r>
    </w:p>
    <w:p>
      <w:r>
        <w:t>janvier 2024, pouvaient avoir un effet dans la sphère ménagère. Pour cette raison, la cause était renvoyée à l’OAI afin qu’il diligente une enquête ménagère en vue d’évaluer la capacité de la recourante d’effectuer ses travaux ménagers, son rendement dans lesdits travaux, ainsi que le pourcentage d’aide exigible de la part des enfants. D. a. À la suite du renvoi de la cause, l’OAI a délivré un mandat d’enquête ménagère. b. Dans le courant du mois d’octobre 2024, une procédure pénale a été ouverte contre la recourante et ses enfants ont été placés en dehors du domicile familial. c. Une enquêtrice s’est rendue au domicile de la recourante, en date du 24 mars 2025 et a procédé, en sa présence, à une enquête qui a abouti au rapport d’enquête économique sur le ménage daté du 10 avril 2025. Selon la synthèse du rapport : - dès le mois de septembre 2020, l’enquêtrice a retenu un taux d’invalidité de 2.6%, correspondant à 52h42 retenues par semaine pour la tenue du ménage, tenant compte d’une obligation de réduire le dommage exigible</w:t>
      </w:r>
    </w:p>
    <w:p>
      <w:r>
        <w:t>A/886/20245 - 7/24 - des membres de la famille de 07h00, correspondant à 13.3%, déduite de l’empêchement avant obligation de réduire le dommage de 08h21 correspondant à 15.9%, la différence étant de 2.6% ; - dès le mois de décembre 2022, l’enquêtrice a retenu un taux d’invalidité nul, correspondant à 52h42 retenues par semaine pour la tenue du ménage, tenant compte d’une obligation de réduire le dommage exigible des membres de la famille de 08h21, correspondant à 15.90%, déduite de l’empêchement avant obligation de réduire le dommage de 08h21 correspondant à 15.9%, la différence étant nulle ; - dès le mois d’octobre 2024, l’enquêtrice a retenu un taux d’invalidité de 9.8%, correspondant à 22h12 retenues par semaine pour la tenue du ménage, tenant compte d’une obligation de réduire le dommage exigible des membres de la famille de 0%, en raison du placement des enfants. d. Par projet de décision du 14 avril 2025, l’OAI a refusé l’octroi d’une rente invalidité ou de mesures professionnelles. Le statut d’assuré retenu était celui d’une personne se consacrant à 28% à son activité professionnelle et, pour les 72% restants, à l’accomplissement de ses travaux habituels dans le ménage. Il était rappelé qu’à l’issue de l’instruction, l’OAI avait constaté une incapacité de travail totale dans toute activité professionnelle, dès le 28 septembre 2019, début du délai d’attente d’un an, après quoi la capacité de travail dans toute activité professionnelle avait évolué comme suit : 100% dès mars 2022 et 50% dès le</w:t>
      </w:r>
    </w:p>
    <w:p>
      <w:r>
        <w:rPr>
          <w:b/>
        </w:rPr>
        <w:t>E. 26</w:t>
      </w:r>
    </w:p>
    <w:p>
      <w:r>
        <w:t>mai 2023. À l’issue du délai d’attente, soit en septembre 2021, l’OAI considérait que l’incapacité de travail totale se confondait avec la capacité de gain pour la part professionnelle, soit 100%. S’agissant de l’invalidité dans la sphère des travaux habituels, l’enquête ménagère avait permis de retenir un taux d’invalidité de 2.6%. L’invalidité totale était de 30%, soit l’addition d’une invalidité dans la sphère professionnelle représentant 28% (soit 28% de 100%) et d’une invalidité dans la sphère ménagère de 1.87% (soit 72% de 2.6%). Dès le mois de mai 2023, la capacité de travail était remontée à 50%, avec un empêchement nul dans la sphère ménagère, ce qui aboutissait à un taux d’invalidité total de 14% (soit 50% de 28%). Dès le mois d’octobre 2024, la capacité de travail de 50% aboutissant à un taux d’invalidité de 14% se maintenait. Compte tenu du fait que les enfants ne participaient plus aux travaux du ménage, l’empêchement dans les travaux habituels s’élevait désormais à 7% (soit 9.8% de 72%). L’addition de l’invalidité dans la sphère professionnelle et dans la sphère ménagère aboutissait à un taux d’invalidité totale de 21% (soit 14% plus 7%). e. Par courrier de son mandataire du 27 mai 2025, l’assurée a contesté le projet et demandé la transmission intégrale du dossier.</w:t>
      </w:r>
    </w:p>
    <w:p>
      <w:r>
        <w:t>A/886/20245 - 8/24 - f. Par décision du 29 juillet 2025, l’OAI a intégralement confirmé le projet de décision du 14 avril 2025. E. a. Par acte de son conseil, posté le 15 septembre 2025, l’assurée a interjeté recours contre la décision du 29 juillet 2025 auprès de la chambre de céans, concluant à son annulation et à ce qu’il soit dit que la recourante avait droit aux prestations de l’assurance invalidité et en particulier à une rente. Subsidiairement, il était conclu à la mise en œuvre d’une expertise judiciaire psychiatrique indépendante. La recourante alléguait, d’une part, que l’OAI n’avait pas tenu compte d’une aggravation de sa situation sous l’angle psychiatrique, suite à un conflit familial qui avait abouti à une détention provisoire d’une quinzaine de jours et à une séparation d’avec ses enfants, placés sous curatelle hors du foyer. À cet effet, elle produisait une attestation rédigée par sa psychiatre, la Dre E______, datée du 15 septembre 2025. D’autre part, la recourante alléguait que le taux mixte retenu par l’OAI était erroné dès lors que, si elle n’avait pas eu la charge de ses cinq enfants elle aurait exercé une activité lucrative à 100%, raison pour laquelle il fallait remplacer le taux mixte retenu par l’OAI par un statut d’active avec une activité professionnelle à 100%, pour laquelle sa capacité de travail dans toute activité était nulle. b. Par réponse du 10 novembre 2025, l’OAI a conclu au rejet du recours, considérant que, dès le mois d’octobre 2024, la capacité de travail de la recourante était nulle dans toute activité professionnelle, en lien avec les limitations fonctionnelles suivantes, sur le plan somatique : fatigue, fatigabilité, éviter le port de charges, les marches longues, un environnement froid. Sur le plan psychiatrique : diminution de la flexibilité, de la capacité d’adaptation, diminution des capacités de jugement et de prise de position, diminution de l’aptitude à établir des relations avec les autres, d’évoluer au sein d’un groupe, d’entretenir des relations proches, des activités spontanées, difficultés d’adaptation aux règles et routines, problèmes moyens quant à la planification et la structuration des tâches, selon avis du SMR du 10 novembre 2025, qui prenait position suite à la réception de la nouvelle pièce médicale rédigée par la Dre E______. Néanmoins, le SMR considérait que les limitations fonctionnelles n’avaient pas d’effet dans la sphère ménagère. S’agissant de la contestation du taux mixte de 28% dans la sphère professionnelle et de 72% dans la sphère ménagère, ledit taux avait été confirmé par l’arrêt du</w:t>
      </w:r>
    </w:p>
    <w:p>
      <w:r>
        <w:rPr>
          <w:b/>
        </w:rPr>
        <w:t>E. 29</w:t>
      </w:r>
    </w:p>
    <w:p>
      <w:r>
        <w:t>août 2024 de la chambre de céans et il n’y avait eu aucun changement de circonstances propre à influencer le statut retenu, de sorte que ce dernier ne devait pas être modifié. c. Par réplique de son conseil du 4 décembre 2025, la recourante a contesté l’appréciation de l’OAI selon laquelle l’incapacité totale dans la sphère professionnelle n’avait pas d’effet dans la sphère ménagère, alléguant que même si l’enquête ménagère avait été effectuée après l’incarcération, elle était antérieure au rapport de la Dre E______ et perdait donc sa valeur probante.</w:t>
      </w:r>
    </w:p>
    <w:p>
      <w:r>
        <w:t>A/886/20245 - 9/24 - S’agissant du taux mixte, la recourante prétendait que l’OAI l’avait « figé » dans une situation familiale dépassée, le statut devant désormais être déterminé en fonction de ce que la recourante aurait fait si elle avait été en bonne santé et non pas sur la base d’un choix exprimé en 2022, alors qu’elle élevait cinq enfants seule, dont certains étaient petits, ce qui justifiait parfaitement une activité réduite. Dès lors que les enfants avaient été placés et que la recourante vivait seule et n’assumait plus de charge ménagère liée aux enfants, ce qui était constaté dans l’enquête, son intérêt économique l’obligeait à subvenir à ses besoins et donc à travailler davantage. d. Par duplique du 6 janvier 2026, l’OAI a contesté les allégations de la recourante, rappelant que l’enquêtrice avait fait état et avait pris en compte les mêmes limitations fonctionnelles que celles retenues par le SMR dans son dernier avis, après que ce dernier avait pris connaissance du nouveau rapport médical établi le 15 septembre 2025 par la Dre E______. De ce fait, l’enquête ménagère conservait toute sa valeur probante, notamment quant aux limitations fonctionnelles retenues. S’agissant du statut de personne active à 100% sur le plan professionnel qui était allégué par la recourante, il n’existait aucun élément au dossier justifiant de tenir compte de ses déclarations d’intention comme étant le reflet de la réalité qui se serait concrétisée sans atteinte à la santé, ce d’autant plus que, dans ses premières déclarations au début de la procédure administrative, la recourante avait clairement indiqué qu’elle n’envisageait pas d’augmenter son taux d’activité et n’avait jamais évoqué le souhait d’exercer une activité professionnelle à taux plein, si ce n’est dans le cadre de la présente procédure judiciaire et ce pour la première fois. S’ajoutait le fait que, lors de son entretien avec l’enquêtrice, alors même que ses enfants étaient déjà placés à l’extérieur du foyer familial, la recourante n’avait jamais mentionné qu’elle voulait augmenter son taux d’activité professionnelle. On ne pouvait donc pas se fonder sur ce changement de circonstances qui d’ailleurs, en l’état, ne pouvait pas être qualifié d’irrévocable. e. Sur ce, la cause a été gardée à juger, ce dont les parties ont été informées. f. Les autres faits et documents seront mentionnés, en tant que de besoin, dans la partie « en droit » du présent arrêt.</w:t>
      </w:r>
    </w:p>
    <w:p>
      <w:r>
        <w:t>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A/886/20245 - 10/24 - sociales, du 6 octobre 2000 (LPGA - RS 830.1) relatives à la loi fédérale sur l’assurance-invalidité du 19 juin 1959 (LAI - RS 831.20). Sa compétence pour juger du cas d’espèce est ainsi établie. 1.2 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2. Le litige porte sur le bien-fondé de la décision de l’OAI de refus de prestations invalidité. 3.</w:t>
      </w:r>
    </w:p>
    <w:p>
      <w:r>
        <w:t>3.1 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recourante fait valoir une modification des circonstances et de son état de santé, à partir du mois d’octobre 2024, de sorte que les dispositions légales applicables seront citées dans leur nouvelle teneur. 3.2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3.3 L’art. 28b LAI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 L'invalidité est une notion économique et non médicale, où sont prises en compte les répercussions de l'atteinte à la santé sur la capacité de gain (arrêt du Tribunal fédéral I 15/06 du 21 décembre 2006 consid. 2.2). Aux termes de l'art. 8 al. 1er LPGA, est réputée invalidité l'incapacité de gain totale ou partielle qui est</w:t>
      </w:r>
    </w:p>
    <w:p>
      <w:r>
        <w:t>A/886/20245 - 11/24 -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3.4 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du règlement du 17 janvier 1961 sur l’assurance-invalidité du 17 janvier 1961 - RAI - RS 831.201).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4.</w:t>
      </w:r>
    </w:p>
    <w:p>
      <w:r>
        <w:t>4.1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t>A/886/20245 - 12/24 - 4.2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5.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A/886/20245 - 13/24 -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 6.</w:t>
      </w:r>
    </w:p>
    <w:p>
      <w:r>
        <w:t>6.1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6.2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w:t>
      </w:r>
    </w:p>
    <w:p>
      <w:r>
        <w:t>A/886/20245 - 14/24 -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6.3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6.4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6.5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w:t>
      </w:r>
    </w:p>
    <w:p>
      <w:r>
        <w:t>A/886/20245 - 15/24 -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6.6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6.7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 7.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w:t>
      </w:r>
    </w:p>
    <w:p>
      <w:r>
        <w:t>A/886/20245 - 16/24 -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cf. arrêt du Tribunal fédéral 8C_43/2023 du 29 novembre 2023 consid. 5.1 et 5.2 et les références). 8.</w:t>
      </w:r>
    </w:p>
    <w:p>
      <w:r>
        <w:t>8.1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104 V 136 consid. 2a). Activité lucrative et travaux habituels non rémunérés sont en principe complémentaires dans le cadre de la méthode mixte. En d’autres termes, ces deux domaines d'activité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w:t>
      </w:r>
    </w:p>
    <w:p>
      <w:r>
        <w:t>A/886/20245 - 17/24 - 8.2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8.3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w:t>
      </w:r>
    </w:p>
    <w:p>
      <w:r>
        <w:t>A/886/20245 - 18/24 - 129 V 67 consid. 2.3.2 publié in VSI 2003 p. 221 ; arrêts du Tribunal fédéral 9C_625/2017 du 26 mars 2018 consid. 6.2 et I 733/06 du 16 juillet 2007). 8.4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w:t>
      </w:r>
    </w:p>
    <w:p>
      <w:r>
        <w:t>A/886/20245 - 19/24 - Le Tribunal fédéral a récemment confirmé qu'il n'y a pas de motif de revenir sur le principe de l'obligation de diminuer le dommage tel que dégagé par la jurisprudence (arrêt du Tribunal fédéral 9C_248/2022 du 25 avril 2023 consid. 5.3 et les références). 9.</w:t>
      </w:r>
    </w:p>
    <w:p>
      <w:r>
        <w:t>9.1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9.2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10. En l’espèce, la recourante critique la valeur probante de l’enquête ménagère ainsi que le statut mixte retenu par l’OAI. 10.1 À titre liminaire on rappellera que c’est en raison des troubles somatiques mentionnés dans le rapport médical du Dr H______ du 22 janvier 2024, que la chambre de céans a considéré qu’on ne pouvait exclure que les douleurs chroniques s’étaient aggravées depuis la fin de l’année 2022 et avaient impacté la capacité de l’assurée d’effectuer ses travaux dans la sphère ménagère, raison pour laquelle une enquête ménagère était nécessaire. Ladite enquête a été effectuée en toute connaissance de cause, aussi bien quant aux troubles somatiques que quant aux troubles psychiatriques. Daté du 10 avril 2025, le rapport d’enquête économique sur le ménage est largement postérieur à la détention provisoire subie par la recourante en octobre 2024 ainsi qu’au placement des enfants en dehors du domicile familial et tient compte des limitations fonctionnelles psychiatriques qui sont répétées sous la rubrique « 1. État de santé », 1.1 4), soit : diminution de la flexibilité et capacité</w:t>
      </w:r>
    </w:p>
    <w:p>
      <w:r>
        <w:t>A/886/20245 - 20/24 - d’adaptation, diminution des capacités de jugement et de prise de position, diminution de l’aptitude à établir des relations avec les autres, à évoluer au sein d’un groupe, à entretenir des relations proches, à des activités spontanées. Difficultés d’adaptation aux règles et routines, problème moyen quant à la planification et structuration des tâches. Lesdites limitations fonctionnelles, mentionnées au tout début du rapport d’enquête économique du ménage, sont absolument les mêmes que celles qui sont retenues par le SMR dans son rapport du 10 novembre 2025 in fine, faisant suite à la réception du rapport médical de la Dre E______ du 15 septembre 2025. 10.2 On observera également que la Dre E______ ne mentionne aucunement dans son rapport médical du 15 septembre 2025 la moindre limitation fonctionnelle liée à la sphère ménagère. Elle mentionne, sous ch. 3, que « depuis le début de la prise en charge actuelle aucun signe d’aggravation notable n’a été constaté durant le suivi jusqu’aux récents événements impliquant ses enfants. Par la suite la patiente a été très impactée ». S’agissant des douleurs physiques, elle se contente d’exprimer, sous ch. 4, que les « douleurs chroniques [qui] la fatiguent et limitent ses activités quotidiennes à divers degrés selon les périodes ». La psychiatre ne se montre pas plus précise sur le plan somatique, renvoyant aux « médecins somaticiens le soin d’évaluer précisément son tableau douloureux ». Sous ch. 5, la psychiatre ajoute que « pendant la période de suivi régulier, l’état physique et psychologique de la patiente ne lui permettait pas d’assumer une activité professionnelle », ajoutant, sous ch. 6, que « l’impact de la situation familiale (placement des enfants, visites limitées) a eu un rôle aggravant dans l’état de santé de sa patiente qui s’est « plainte d’une profonde tristesse, d’un sentiment de désarroi et d’impuissance face à cette situation, tout en conservant la volonté de se battre pour revoir ses enfants ». S’agissant d’un pronostic sur l’évolution de l’état de santé, la psychiatre traitante confirme (ch. 7) une capacité de travail nulle, avec une « évolution de l’état de santé qui dépendra également de l’évolution de la situation concernant ses enfants ». La psychiatre mentionne encore dans sa conclusion (ch. 8) que sa patiente « bénéficie principalement d’un suivi psychologique » renvoyant à la psychologue pour obtenir les informations actualisées. Comme l’a relevé le SMR dans son rapport du 10 novembre 2025, ce dernier admet qu’il y a une aggravation de l’état de santé psychiatrique de l’assurée, dès octobre 2024, dans le contexte d’une incarcération au sein d’une prison et le placement de ses enfants mineurs, dont elle a été séparée à partir de cette date et ce, en lien avec une réaction à un facteur de stress important et des troubles de l’adaptation, associés à un trouble spécifique de la personnalité émotionnellement labile. Le SMR conclut ainsi à une capacité de travail nulle dans toute activité professionnelle, dès le mois d’octobre 2024. Néanmoins, le SMR ne retient aucune limitation fonctionnelle particulière dans la sphère des travaux du ménage.</w:t>
      </w:r>
    </w:p>
    <w:p>
      <w:r>
        <w:t>A/886/20245 - 21/24 - 10.3 L’argument de la recourante, selon lequel le rapport médical de la Dre E______ primerait sur le rapport d’enquête ménagère doit être écarté dès lors que l’enquêtrice était parfaitement au courant de la situation somatique et psychiatrique de la recourante, au regard de la détention subie et du placement de ses enfants, au moment où elle a rédigé le rapport en avril 2025. De la même façon que la chambre de céans a considéré, dans son arrêt du 29 août 2024, que le rapport médical du Dr H______ ne permettait pas d’évaluer la capacité d’effectuer les travaux ménagers (consid. 12.2 et 12.3), le rapport médical de la Dre E______ ne permet pas non plus d’effectuer une telle évaluation, étant rappelé que l’absence de rapport d’enquête ménagère était l’un des griefs soulevés par la recourante à l’encontre de la précédente décision. Contrairement à ce que soutient la recourante, il n’est pas fait mention d’une péjoration de la situation psychiatrique de cette dernière après que le rapport d’enquête ménagère a été effectué en avril 2025. Le rapport de la Dre E______ de septembre 2025, qui se fonde sur sa dernière consultation avec la patiente le 24 juillet 2025, mentionne que les événements d’octobre 2024, impliquant ses enfants, ont impacté la recourante ; or, les événements en question se sont produits en octobre 2024 et l’on peut considérer, avec une vraisemblance prépondérante, qu’ils avaient déjà déployé leurs effets – soit un facteur de stress – sur le psychisme de la recourante au moment où l’enquête ménagère a été effectuée, cinq mois plus tard. Partant, le rapport d’enquête ménagère constitue un document probant permettant d’établir la capacité de la recourante à effectuer ses travaux dans la sphère ménagère, étant rappelé que lorsque le rapport constitue une base fiable de décision le juge n’intervient pas dans l’appréciation de l’auteur du rapport, sauf lorsqu’il existe des erreurs d’estimation que l’on peut clairement constater, ou des indices laissant apparaître une inexactitude dans les résultats de l’enquête. À cet égard, le seul argument soulevé par la recourante pour critiquer la valeur probante de l’enquête ménagère est que ledit rapport ne tiendrait pas compte de « l’évolution clinique majeure survenue après mars 2025, confirmée par les médecins ». Il sied de constater que cette prétendue péjoration des troubles psychiatriques de la recourante, après mars 2025, n’est aucunement confirmée par les médecins ; elle ne figure ni dans le certificat médical de la Dre E______ du 15 septembre 2025 (qui a vu pour la dernière fois sa patiente le 24 juillet 2025), ni dans le rapport du SMR du 10 novembre 2025. Partant, en l’absence d’éléments médicaux postérieurs au rapport d’enquête ménagère d’avril 2025 objectivant une aggravation des troubles psychiatriques ou des limitations fonctionnelles substantielles supplémentaires objectivement constatées, et dans la mesure où les appréciations de l’enquêtrice et les taux retenus pour les différentes tâches ne sont pas contestés en tant que tels et n’apparaissent pas non plus contestables, il convient de considérer que le rapport d’enquête ménagère présente une pleine valeur probante (ATF 140 V 543 a contrario) et arrêt de la chambre de céans du 19 juin 2023 (ATAS/466/2023).</w:t>
      </w:r>
    </w:p>
    <w:p>
      <w:r>
        <w:t>A/886/20245 - 22/24 - 10.4 Dans un second grief, la recourante critique le statut mixte retenu par l’OAI alors même que, comme l’avait relevé la chambre de céans dans son précédent arrêt, « ce pourcentage [n’était] à juste titre pas critiqué par la recourante » (ATAS/654/2024, consid. 12). Dans le même arrêt, la chambre de céans avait également rappelé que « conformément au principe d’économie de procédure, il n’est pas nécessaire, à ce stade, d’examiner en détail l’estimation de la capacité de travail dans la sphère professionnelle dès lors que le pourcentage le plus important – et qui est déterminant pour atteindre le taux minimum de 40% d’invalidité – est dédié à la sphère des travaux ménagers, ce qui nécessite un complément d’instruction ». Selon une jurisprudence constante,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du 23 mai 2017 consid. 4.3). Dans le cas d’espèce, on ne peut exclure que ces considérations aient pu influencer, même inconsciemment, la recourante qui a, tout à coup, allégué qu’il fallait lui reconnaître un statut d’active à 100%, argument soulevé pour la première fois, dans le cadre du présent recours. Or, comme le relève à juste titre l’intimé, ce n’est qu’à la suite du placement de ses enfants et dans le cadre de ses prétentions à une rente d’invalidité que la recourante allègue, pour la première fois, que si son état de santé le lui avait permis elle aurait toujours travaillé à 100%. On rappellera, tout d’abord, que l’éloignement des enfants du foyer familial est une mesure provisoire, instaurée dans le cadre de la procédure pénale pendante et qu’une décision sur le fond n’a pas encore été prise à ce sujet. Partant, on ne saurait considérer que cet élément est suffisamment pérenne et établi dans le temps, avec un certain caractère d’irrévocabilité, pour qu’il puisse raisonnablement être pris en compte. Dans l’état actuel, la recourante est décrite comme une personne qui souhaite retrouver ses enfants et non pas comme une personne qui souhaite mener désormais une carrière professionnelle à 100%, après avoir accepté que ses enfants soient, à l’avenir, éduqués au sein de familles d’accueil ou de foyers, sans qu’elle n’ait plus besoin de s’en occuper. Cette hypothèse est d’autant moins crédible si l’on considère que I______ et J______, respectivement nés en 2007 et 2008, pourraient décider de mener une vie indépendante, mais qu’il n’en est pas de même des trois autres enfants, qui sont</w:t>
      </w:r>
    </w:p>
    <w:p>
      <w:r>
        <w:t>A/886/20245 - 23/24 - respectivement nés en 2011, 2014 et 2019 et dont la recourante devra à nouveau s’occuper, à plus ou moins long terme, selon la décision qui sera rendue par une instance judiciaire, soit dans le courant de la procédure pénale soit au terme de cette dernière. Comme le relève l’intimé, alors même qu’elle n’avait pas encore d’enfant et qu’elle était donc libre de travailler à un taux de 100%, la recourante n’exerçait pas une activité lucrative à plein temps, tel que cela ressort de son extrait de compte individuel AVS. Un tel souhait n’a jamais non plus été évoqué par la recourante lors de son anamnèse pratiquée dans le cadre de l’expertise psychiatrique. En tous les cas, aucune pièce au dossier ne permet, en dehors des allégations de la recourante dans le cadre de la présente procédure, de considérer, avec une vraisemblance au degré prépondérant, que le statut de la recourante est celui d’une personne active à 100% dans la sphère professionnelle. Partant, le grief concernant le statut mixte retenu par l’OAI doit être écarté. 10.5 Le droit d'être entendu comprend notamment le droit pour l'intéressé d'offrir des preuves pertinentes et d'obtenir qu'il y soit donné suite (ATF 132 II 485 consid. 3.2 ; 127 I 54 consid. 2b) mais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Compte tenu des éléments mentionnés supra sous ch. 10.4, la chambre de céans considère qu’une nouvelle expertise psychiatrique n’est pas nécessaire, raison pour laquelle la conclusion subsidiaire de la recourante sera rejetée. 11. 11.1 À l’aune de ce qui précède, la chambre de céans ne peut que rejeter le recours. 11.2 Il convient de renoncer à la perception d'un émolument, la recourante étant au bénéfice de l'assistance juridique (art. 69 al. 1bis LAI et 13 al. 1 du règlement sur les frais, émoluments et indemnités en procédure administrative du</w:t>
      </w:r>
    </w:p>
    <w:p>
      <w:r>
        <w:rPr>
          <w:b/>
        </w:rPr>
        <w:t>E. 30</w:t>
      </w:r>
    </w:p>
    <w:p>
      <w:r>
        <w:t>juillet 1986 [RFPA - E 5 10.03]).</w:t>
      </w:r>
    </w:p>
    <w:p>
      <w:r>
        <w:t>A/886/20245 - 24/24 -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