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ATAS/110/2023 vom 17. Februar 2023</w:t>
      </w:r>
    </w:p>
    <w:p>
      <w:r>
        <w:t>GE Cour de justice, 2023-02-17, FR</w:t>
      </w:r>
    </w:p>
    <w:p>
      <w:r>
        <w:rPr>
          <w:b/>
        </w:rPr>
        <w:t xml:space="preserve">Quelle: </w:t>
      </w:r>
      <w:r>
        <w:t>https://mcp.opencaselaw.ch/entscheid/ge_gerichte_ATAS_110_2023</w:t>
      </w:r>
    </w:p>
    <w:p>
      <w:r>
        <w:t>FR: GE_GERICHTE ATAS/110/2023 du 17 février 2023</w:t>
      </w:r>
    </w:p>
    <w:p>
      <w:r>
        <w:t>IT: GE_GERICHTE ATAS/110/2023 del 17 febbraio 2023</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dans les forme et délai prévus par la loi, le recours est recevable (art. 56 LPGA, applicable par le renvoi de l’art. 1 al. 1 LAA ; art. 62 al. 1 de la de loi sur la procédure administrative du 12 septembre 1985 [LPA - E 5 10]).</w:t>
      </w:r>
    </w:p>
    <w:p>
      <w:r>
        <w:rPr>
          <w:b/>
        </w:rPr>
        <w:t>E. 2</w:t>
      </w:r>
    </w:p>
    <w:p>
      <w:r>
        <w:t>Le litige porte sur le droit du recourant à une indemnité pour atteinte à l'intégrité.</w:t>
      </w:r>
    </w:p>
    <w:p>
      <w:r>
        <w:rPr>
          <w:b/>
        </w:rPr>
        <w:t>E. 2.1</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rPr>
          <w:b/>
        </w:rPr>
        <w:t>E. 2.2</w:t>
      </w:r>
    </w:p>
    <w:p>
      <w:r>
        <w:t>Aux termes de l'art. 24 LAA, si par suite d'un accident, l'assuré souffre d'une atteinte importante et durable à son intégrité physique, mentale ou psychique, il a droit à une IPAI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Le Conseil fédéral édicte des prescriptions détaillées sur le calcul de l'indemnité (al. 2). L'IPAI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L'IPAI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l'IPAI</w:t>
      </w:r>
    </w:p>
    <w:p>
      <w:r>
        <w:t>A/3402/2021 - 6/9 - se distingue de la réparation morale selon le droit civil, qui n'implique pas une atteinte durable et qui vise toutes les souffrances graves liées à une lésion corporelle (ATF 133 V 224 consid. 5.1 et les références). Contrairement à l’évaluation du tort moral, la fixation de l’IPAI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l’IPAI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w:t>
      </w:r>
    </w:p>
    <w:p>
      <w:r>
        <w:rPr>
          <w:b/>
        </w:rPr>
        <w:t>E. 2.3</w:t>
      </w:r>
    </w:p>
    <w:p>
      <w:r>
        <w:t>Selon l’art. 36 de l’ordonnance sur l'assurance-accidents du 20 décembre 1982 (OLAA - RS 832.202)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L’IPAI est calculée selon les directives figurant à l'annexe 3 à l'OLAA (al. 2).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FREI/Juerg P. BLEUER, Évaluation d'atteintes à l'intégrité multiples, in SUVA Medical 2012, p. 202). Le taux d'une atteinte à l'intégrité doit être évalué exclusivement sur la base de constatations médicales (ATF 115 V 147 consid. 1; ATF 113 V 218 consid. 4b; RAMA 2004 p. 415; arrêt du Tribunal fédéral des assurances U 134/03 du 12 janvier 2004 consid. 5.2).</w:t>
      </w:r>
    </w:p>
    <w:p>
      <w:r>
        <w:rPr>
          <w:b/>
        </w:rPr>
        <w:t>E. 2.4</w:t>
      </w:r>
    </w:p>
    <w:p>
      <w:r>
        <w:t>L’annexe 3 à l'OLAA comporte un barème – reconnu conforme à la loi et non exhaustif (ATF 113 V 218 consid. 2a; RAMA 1988 p. 236) – des lésions fréquentes et caractéristiques, évaluées en pour cent (ATF 124 V 209 consid. 4bb). L'indemnité pour les atteintes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w:t>
      </w:r>
    </w:p>
    <w:p>
      <w:r>
        <w:t>A/3402/2021 - 7/9 - Les atteintes à l’intégrité pour lesquelles un taux inférieur à 5 % serait appliqué selon le barème ne donnent droit à aucune indemnité. La perte totale de l’usage d’un organe est assimilée à la perte de celui-ci. En cas de perte partielle d’un organe ou de son usage, l’IPAI est réduite en conséquence. Selon le barème, la perte d’une phalange d’un pouce ou d’au moins deux phalanges d’un autre doigt équivaut à une atteinte à l’intégrité de 5 %. La perte totale d’un pouce équivaut à une atteinte de 20 %. La Division médicale de la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w:t>
      </w:r>
    </w:p>
    <w:p>
      <w:r>
        <w:rPr>
          <w:b/>
        </w:rPr>
        <w:t>E. 2.5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w:t>
      </w:r>
    </w:p>
    <w:p>
      <w:r>
        <w:rPr>
          <w:b/>
        </w:rPr>
        <w:t>E. 2.6</w:t>
      </w:r>
    </w:p>
    <w:p>
      <w:r>
        <w:t>Devant la chambre de céans, le recourant fait valoir que la décision entreprise ne tient pas compte de la situation médicale réelle de son pouce, qu’il ne peut plus utiliser. Comme exposé ci-avant, le barème pour les IPAI figurant à l'annexe III de l'OLAA prévoit que la perte totale de l’usage d’un organe est assimilée à la perte de celui-ci. Or, la perte totale d’un pouce équivaut à une atteinte à l’indemnité de 20 %. La question se pose donc de savoir si le recourant a perdu l’usage de son pouce gauche. En l’occurrence, sur la base des pièces médicales au dossier, il n’est pas possible de retenir que le recourant a subi une perte totale ou partielle de l’usage de son pouce gauche. Dans son rapport du 7 octobre 2020, le Dr G______ a en effet constaté une raideur du pouce avec une flexion/extension limitée à 45-20-0° de l’articulation métacarpo-phalangienne et 30-0-0° pour l’interphalangienne du pouce gauche. Dans son rapport du 31 mai 2021, le Dr E______ décrit une flexion/extension de l’articulation métacarpo-phalangienne du pouce gauche à 55- 15-0° et l’interphalangienne à 50-0-0°. Questionné par la chambre de céans, ce dernier médecin a relevé qu’il n’y avait pas de perte d’usage ni de la fonction du pouce gauche, mais une limitation fonctionnelle. Il a expliqué que le manque d’extension active de l’articulation métacarpo-phalangienne n’entrainait pas vraiment une perte de fonction car il était compensé par la mobilité de l’articulation trapézo-métacarpienne sus-jacente. L’articulation inter-phalangienne, quoiqu’elle ait perdu l’hyperextension, ne présentait pas de</w:t>
      </w:r>
    </w:p>
    <w:p>
      <w:r>
        <w:t>A/3402/2021 - 8/9 - position fléchie qui limiterait la prise pollici-digitale. La limitation portait sur les deux phalanges, ou plus précisément sur les deux articulations, métacarpo-phalangienne et inter-phalangienne. Cependant, la mobilité en opposition, en avant de l’articulation métacarpo-phalangienne du 4ème rayon était compatible avec une fonction satisfaisante pour le moins dans les activités professionnelles et pour les tâches de la vie quotidienne. Ce handicap était probablement définitif, même si, par phénomène d’adaptation, l’assuré pourrait s’habituer à son handicap. S’agissant de l’estimation de l’atteinte à l’intégrité, il partageait l’avis du médecin d’arrondissement selon lequel le taux était inférieur à celui indemnisable conformément aux tables de l’intimée. Cette explication, convaincante, du médecin traitant du recourant rejoint les appréciations des Drs I______ et F______. Il n’existe au demeurant aucun avis divergent permettant de s’en écarter, si bien qu’il convient de s’y rallier. Quant à la manière dont l'intéressé ressent son "handicap", elle est dénuée de pertinence, étant rappelé que l'IPAI est exclusivement fixée en fonction de facteurs médicaux objectifs, valables pour tous les assurés, sans égard à des considérations d'ordre subjectif ou personnel et qu'il n'est pas nécessaire de tenir compte des inconvénients spécifiques qu’une atteinte entraîne pour l’assuré concerné. Seule compte l'évaluation médico-théorique de l’atteinte physique. Au vu de ce qui précède, le recours est rejeté.</w:t>
      </w:r>
    </w:p>
    <w:p>
      <w:r>
        <w:rPr>
          <w:b/>
        </w:rPr>
        <w:t>E. 3</w:t>
      </w:r>
    </w:p>
    <w:p>
      <w:r>
        <w:t>Pour le surplus, la procédure est gratuite (art. 61 let. fbis a contrario LPGA).</w:t>
      </w:r>
    </w:p>
    <w:p>
      <w:r>
        <w:t>A/3402/2021 - 9/9 -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