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ATAS/110/2010 vom 2. Februar 2010</w:t>
      </w:r>
    </w:p>
    <w:p>
      <w:r>
        <w:t>GE Cour de justice, 2010-02-02, FR</w:t>
      </w:r>
    </w:p>
    <w:p>
      <w:r>
        <w:rPr>
          <w:b/>
        </w:rPr>
        <w:t xml:space="preserve">Quelle: </w:t>
      </w:r>
      <w:r>
        <w:t>https://mcp.opencaselaw.ch/entscheid/ge_gerichte_ATAS_110_2010</w:t>
      </w:r>
    </w:p>
    <w:p>
      <w:r>
        <w:t>FR: GE_GERICHTE ATAS/110/2010 du 2 février 2010</w:t>
      </w:r>
    </w:p>
    <w:p>
      <w:r>
        <w:t>IT: GE_GERICHTE ATAS/110/2010 del 2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loi fédérale sur la partie générale du droit des assurances sociales, du 6 octobre 2000 (LPGA ; RS 830.1) qui sont relatives à la loi fédérale sur l’assurance-invalidité, du 19 juin 1959 (LAI ; 831.20). Sa compétence pour juger du cas d’espèce est ainsi établie.</w:t>
      </w:r>
    </w:p>
    <w:p>
      <w:r>
        <w:rPr>
          <w:b/>
        </w:rPr>
        <w:t>E. 2</w:t>
      </w:r>
    </w:p>
    <w:p>
      <w:r>
        <w:t>La LPGA, entrée en vigueur le 1er janvier 2003, est applicable au cas d'espèce.</w:t>
      </w:r>
    </w:p>
    <w:p>
      <w:r>
        <w:rPr>
          <w:b/>
        </w:rPr>
        <w:t>E. 3</w:t>
      </w:r>
    </w:p>
    <w:p>
      <w:r>
        <w:t>Interjeté dans les délai et formes prescrits par la loi, le recours est recevable (art. 38 et 56 ss et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w:t>
      </w:r>
    </w:p>
    <w:p>
      <w:r>
        <w:t>A/3947/2008 - 8/13 -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w:t>
      </w:r>
    </w:p>
    <w:p>
      <w:r>
        <w:rPr>
          <w:b/>
        </w:rPr>
        <w:t>E. 7</w:t>
      </w:r>
    </w:p>
    <w:p>
      <w:r>
        <w:t>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Quant au revenu de l'activité raisonnablement exigible, il doit être déterminé en se référant aux conditions d'un marché du travail équilibré et structuré offrant un</w:t>
      </w:r>
    </w:p>
    <w:p>
      <w:r>
        <w:t>A/3947/2008 - 11/13 - éventail d'emplois diversifiés. Il s'agit donc d'une notion théorique (FRÉSARD, L'assurance-accidents obligatoire, in: Schweizerisches Bundesverwaltungsrecht [SBVR], Soziale Sicherheit, Bâle, 1998, n° 77). Lorsque l'assuré ne reprend pas d'activité lucrative, la comparaison peut se faire au moyen de tabelles statistiques publiées par l'Office fédéral de la statistique (ATF 126 V 76 consid. 3a/bb et les références) S'agissant des statistiques, on se référera aux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8</w:t>
      </w:r>
    </w:p>
    <w:p>
      <w:r>
        <w:t>En l'espèce, est déterminante pour le calcul du degré d'invalidité par la méthode de comparaison des revenus l'année 2005 (1 an de délai de carence de l'art. 29 LAI dès le début de l'incapacité de travail de décembre 2004 attestée par le médecin traitant et année de naissance du droit à la rente). Pour le salaire sans invalidité, il convient de prendre en compte les revenus tels qu'établis par l'employeur dans son attestation du 25 octobre 2005. En 2004, année précédent le début de l'incapacité de travail, le recourant a gagné un revenu brut de 51'073 fr. 35, treizième salaire compris. Réévalué à l'indice des salaires nominaux et réels de l'année 2005 (La Vie économique, tableau B10.3), ce montant doit être porté à 51'512 fr. 95. Pour calculer le revenu après invalidité, au regard du large éventail d'activités simples et répétitives que recouvrent les secteurs de la production et des services, on doit en effet convenir qu'un certain nombre d'entre elles sont légères et adaptées aux problèmes de santé du recourant. Compte tenu de l’activité légère de substitution, on se réfèrera au salaire statistique auquel pouvaient prétendre les hommes effectuant des activités simples en 2004, à savoir 4'588 fr. par mois ou 55'056 fr. par an (ESS 2004, tableau TA1, niveau de qualification 4). Comme les salaires bruts standardisés tiennent compte d'un horaire de travail de 40 heures, durée hebdomadaire inférieure à la moyenne usuelle dans les entreprises en 2004 (41,6), ce montant doit être porté à 57'258 fr. 25 (La Vie économique, Tableau B9.2). Après réévaluation à l'année 2005, le revenu avec invalidité se monte à 57'751 fr. 05. Compte tenu de la réduction de rendement de 30%, ce montant doit encore être porté à 40'425 fr. 75.</w:t>
      </w:r>
    </w:p>
    <w:p>
      <w:r>
        <w:t>A/3947/2008 - 12/13 - Par ailleurs, eu égard à la diminution de rendement déjà prise en compte en raison des limitations que présente le recourant, aucun abattement supplémentaire ne se justifie selon la jurisprudence fédérale. La comparaison de ce montant avec le revenu sans invalidité ([51'512 fr. 95 – 40'425 fr. 75] x 100 / 51'512 fr. 95) conduit à retenir un degré d’invalidité de 21,55 %, n'ouvrant pas droit à une rente de l'assurance-invalidité. Ainsi, il y a lieu de constater que la décision de l'intimé est justifiée.</w:t>
      </w:r>
    </w:p>
    <w:p>
      <w:r>
        <w:rPr>
          <w:b/>
        </w:rPr>
        <w:t>E. 9</w:t>
      </w:r>
    </w:p>
    <w:p>
      <w:r>
        <w:t>Au vu de ce qui précède, le recours, mal fondé, sera rejeté. Le recourant qui succombe n'aura pas droit à des dépens mais devra supporter des émoluments de procédure selon l'art. 69 al. 1bis LAI. En effet, la procédure de recours en matière de contestations portant sur l’octroi ou le refus de prestations de l’assurance- invalidité devant le Tribunal de céans est désormais soumise à des frais de justice, qui doivent se situer entre 200 fr. et 1'000 fr.</w:t>
      </w:r>
    </w:p>
    <w:p>
      <w:r>
        <w:t>A/3947/2008 - 13/13 -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