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ATAS/1109/2021 vom 6. September 2011</w:t>
      </w:r>
    </w:p>
    <w:p>
      <w:r>
        <w:t>GE Cour de justice, 2011-09-06, FR</w:t>
      </w:r>
    </w:p>
    <w:p>
      <w:r>
        <w:rPr>
          <w:b/>
        </w:rPr>
        <w:t xml:space="preserve">Quelle: </w:t>
      </w:r>
      <w:r>
        <w:t>https://mcp.opencaselaw.ch/entscheid/ge_gerichte_ATAS_1109_2021</w:t>
      </w:r>
    </w:p>
    <w:p>
      <w:r>
        <w:t>FR: GE_GERICHTE ATAS/1109/2021 du 6 septembre 2011</w:t>
      </w:r>
    </w:p>
    <w:p>
      <w:r>
        <w:t>IT: GE_GERICHTE ATAS/1109/2021 del 6 settembre 2011</w:t>
      </w:r>
    </w:p>
    <w:p>
      <w:pPr>
        <w:pStyle w:val="Heading2"/>
      </w:pPr>
      <w:r>
        <w:t>Erwägungen</w:t>
      </w:r>
    </w:p>
    <w:p>
      <w:r>
        <w:rPr>
          <w:b/>
        </w:rPr>
        <w:t>E. 19</w:t>
      </w:r>
    </w:p>
    <w:p>
      <w:r>
        <w:t>Selon le rapport final du service de la réadaptation de l'OAI du 29 août 2017, l’assuré n’avait pas pu développer les compétences linguistiques et de compréhension pour réussir le permis B121, mais avait passé avec succès le B122, lequel lui suffisait pour confirmer son projet professionnel de chauffeur de bus scolaire. L’assuré avait déjà déposé son dossier professionnel en ce sens auprès du département de l’instruction publique (DIP) et du groupement intercommunal pour l’animation parascolaire (GIAP). Aussi le mandat de réadaptation professionnelle avait-il été fermé et l’assuré se voyait-il proposer de s’inscrire au chômage.</w:t>
      </w:r>
    </w:p>
    <w:p>
      <w:r>
        <w:rPr>
          <w:b/>
        </w:rPr>
        <w:t>E. 20</w:t>
      </w:r>
    </w:p>
    <w:p>
      <w:r>
        <w:t>Par décision du 10 janvier 2018, l'OAI a reconnu à l'assuré le droit à un quart de rente du 1er mai au 31 juillet 2014 et le droit à une rente entière du 1er août au 31 décembre 2014, précisant que des mesures professionnelles complémentaires n'étaient pas indiquées. En revanche, du 1er décembre 2010 au 30 avril 2014 et à partir du 1er janvier 2015, ainsi qu'à l’issue de la mesure de reclassement professionnel, le droit à la rente ne lui était pas reconnu en raison de degrés d’invalidité insuffisants. Pour ce faire, il s'est fondé sur l’examen clinique rhumatologique du Dr D______ du 12 octobre 2015, selon lequel la capacité de travail était nulle de mai à octobre 2014. Dès octobre 2014, soit six mois après l’intervention chirurgicale, la capacité de travail était de 50% dans une activité adaptée. L’OAI s'est également référé à la note du 16 décembre 2015 du SMR, retenant que dans une activité strictement adaptée, la capacité de travail était de 50%. Il a relevé que le revenu effectivement réalisé ne pouvait pas être pris en compte pour fixer le salaire d’invalide, puisque l’assuré travaillait à 40% depuis le 1er octobre 2017 et qu’il ne mettait ainsi pas pleinement en valeur sa capacité de travail résiduelle exigible de 50%. C’était la raison pour laquelle il s’était fondé sur l’Enquête suisse sur la structure des salaires (ci-après : ESS). Il a également retenu, après reclassement, la catégorie transports correspondant à l’ESS, alors que pour les périodes antérieures au reclassement professionnel, l’application de la ligne relative au domaine du transport ne se justifiait pas. Il a ajouté, s’agissant du taux d’abattement, que le fait que l’assuré ne maîtrisait pas la langue française ne constituait pas un motif de réduction, les limitations fonctionnelles avaient déjà été prises en compte, le reclassement avait été effectué avec succès et permettait à l’assuré de mettre en valeur sa capacité de travail dans une activité adaptée à 50%.</w:t>
      </w:r>
    </w:p>
    <w:p>
      <w:r>
        <w:rPr>
          <w:b/>
        </w:rPr>
        <w:t>E. 21</w:t>
      </w:r>
    </w:p>
    <w:p>
      <w:r>
        <w:t>Saisie d'un recours contre cette décision, la chambre de céans l'a partiellement admis par arrêt du 5 février 2019 (ATAS/91/2019), confirmant la décision en tant qu'elle portait sur le droit de l'assuré à un quart de rente du 1er mai au 31 juillet 2014 et a une rente entière du 1er août au 31 décembre 2014, l'annulant en tant qu'elle limitait le droit à la rente au 31 décembre 2014 et renvoyant la cause à l'OAI pour instruction complémentaire sur la capacité de travail à compter d'octobre 2014, le droit à une rente au-delà du 31 décembre 2014 et pour nouvelle décision. Elle a en substance considéré qu'il paraissait vraisemblable, au degré requis par la jurisprudence, que l'assuré subisse des rechutes en raison de son activité de chauffeur, activité dans laquelle l'OAI l'avait reclassé. Il ressortait notamment du</w:t>
      </w:r>
    </w:p>
    <w:p>
      <w:r>
        <w:t>A/1557/2020 - 7/22 - rapport du 12 octobre 2015 du Dr D______ que l'activité de chauffeur n'était pas tout à fait indiquée, au vu du fait que l'assuré devait utiliser son genou droit pour freiner, ce qui rendait difficile un tel métier et qu'une telle activité n'était pas compatible avec ses limitations fonctionnelles d'ordre somatique. En outre, le Dr D______ relevait que l'assuré arrivait à rester assis sans se lever pendant une demi-journée, mais qu'après ce laps de temps il avait beaucoup de difficultés à se lever et son genou droit était tuméfié.</w:t>
      </w:r>
    </w:p>
    <w:p>
      <w:r>
        <w:rPr>
          <w:b/>
        </w:rPr>
        <w:t>E. 22</w:t>
      </w:r>
    </w:p>
    <w:p>
      <w:r>
        <w:t>En exécution de l'arrêt précité, l'OAI a interpellé l'assuré par pli du 18 avril 2019, afin qu'il lui communique des informations sur sa situation familiale, professionnelle et médicale depuis janvier 2015.</w:t>
      </w:r>
    </w:p>
    <w:p>
      <w:r>
        <w:rPr>
          <w:b/>
        </w:rPr>
        <w:t>E. 23</w:t>
      </w:r>
    </w:p>
    <w:p>
      <w:r>
        <w:t>Le 30 avril 2019, l'employeur de l'assuré a adressé à l'assurance-accidents SUVA une déclaration de sinistre dans laquelle il expliquait que le 15 avril 2019, l'assuré s'était tordu le genou en descendant des escaliers. Un arrêt complet de travail a été prescrit dès le 17 avril 2019 par la doctoresse E______, médecin cheffe au service de premier recours des HUG. Cet arrêt a par la suite été renouvelé à plusieurs reprises et jusqu'au 31 août 2019 par les docteurs F______, spécialiste FMH en chirurgie orthopédique et traumatologie de l'appareil locomoteur et G______ et H______, médecins internes aux HUG.</w:t>
      </w:r>
    </w:p>
    <w:p>
      <w:r>
        <w:rPr>
          <w:b/>
        </w:rPr>
        <w:t>E. 24</w:t>
      </w:r>
    </w:p>
    <w:p>
      <w:r>
        <w:t>Selon le rapport du 9 mai 2019 des doctoresses I______ et J______, radiologues aux HUG, l'IRM du genou droit avait mis en évidence des critères de micro instabilité de la lésion ostéochondrale condylienne fémorale interne avec apparition de lésions kystiques et d'un œdème osseux expliquant la symptomatologie douloureuse actuelle. La synovite villonodulaire pigmentée multifocale était stable avec des signes de synovite, de même que les autres lésions chondrales condyliennes internes stade 2-3.</w:t>
      </w:r>
    </w:p>
    <w:p>
      <w:r>
        <w:rPr>
          <w:b/>
        </w:rPr>
        <w:t>E. 25</w:t>
      </w:r>
    </w:p>
    <w:p>
      <w:r>
        <w:t>Selon le rapport du 4 juin 2019 du docteur F______, l'assuré avait subi le 29 mai 2019 une nouvelle intervention chirurgicale du genou droit, en raison d'une fracture ostéochondrale du condyle fémoral interne, intervenue le 15 avril 2019.</w:t>
      </w:r>
    </w:p>
    <w:p>
      <w:r>
        <w:rPr>
          <w:b/>
        </w:rPr>
        <w:t>E. 26</w:t>
      </w:r>
    </w:p>
    <w:p>
      <w:r>
        <w:t>Par formulaire complété et transmis à l'OAI le 24 septembre 2019, le Dr F______ a indiqué avoir constaté, le 27 août 2019, une bonne évolution fonctionnelle, suite à l'opération du 29 mai 2019. À titre de restrictions fonctionnelles, l'assuré présentait une limitation de l'amplitude articulaire ainsi que des douleurs articulaires initiales et post-opératoires et devait éviter tout impact et port de charges lourdes. La capacité de travail était « à essayer » à 50% à partir du 1er septembre 2019. En outre, le Dr F______ renvoyait à son rapport du 22 mars 2017, selon lequel l'assuré s'était à nouveau plaint, lors de la consultation du 15 mars 2017, de douleurs péri-patellaires et du creux poplité lors de l'activité quotidienne, mais également au repos ou à la simple mobilisation du genou. Le genou était alors non tuméfié avec une mobilité de flexion-extension à 90-0-0°, le [patella tracking] se montrait correct, de même que l'examen clinique au niveau stabilité et il n'y avait</w:t>
      </w:r>
    </w:p>
    <w:p>
      <w:r>
        <w:t>A/1557/2020 - 8/22 - pas de signe méniscal. La possibilité d'un traitement chirurgical était très limitée étant donné qu'il était à la troisième récidive post-opératoire.</w:t>
      </w:r>
    </w:p>
    <w:p>
      <w:r>
        <w:rPr>
          <w:b/>
        </w:rPr>
        <w:t>E. 27</w:t>
      </w:r>
    </w:p>
    <w:p>
      <w:r>
        <w:t>Par rapport du 14 octobre 2019, le docteur K______, spécialiste FMH en chirurgie orthopédique et traumatologie de l'appareil locomoteur, a indiqué, en remplacement du Dr C______, que l'assuré avait repris son travail le 1er septembre [2019] comme chauffeur à 40%, mais avait été licencié le 24 septembre [2019]. L'assuré décrivait une inflammation chronique de son genou droit survenant lors de la conduite prolongée et de la marche dépassant 30 minutes. Le traitement comprenait de l'Ibuprofène et du Dafalgan et il n'y avait pas de physiothérapie en cours. L'assuré était très démonstratif et boitait lors de la marche. Le genou droit était déformé et présentait un [épanchement intra-articulaire +, extension complète avec recurvatum symétrique de 15°, flexion maximale à droite de 110°, battement latéral +, symétrique]. Les diagnostics étaient une synovite villonodulaire et un status après fracture osthéochondrale du condyle interne du fémur droit. L'évolution de ces deux pathologies était défavorable, l'assuré était toujours symptomatique et le traitement était en mains des HUG. L'assuré ne pouvait pas marcher plus de 30 minutes, la conduite automobile était limitée, il ne pouvait ni se baisser, ni se relever, et encore moins avec des charges. L'assuré avait tenté une reprise de l'activité de chauffeur à 40%, qui s'était avérée pénible, mais néanmoins possible. À l'heure actuelle, cette activité semblait irréalisable à un taux supérieur. Il était possible d'imaginer une capacité de travail de 100% dans une activité épargnant complètement le genou et permettant à l'assuré de bouger son membre inférieur droit.</w:t>
      </w:r>
    </w:p>
    <w:p>
      <w:r>
        <w:rPr>
          <w:b/>
        </w:rPr>
        <w:t>E. 28</w:t>
      </w:r>
    </w:p>
    <w:p>
      <w:r>
        <w:t>Par avis du 21 octobre 2019, le SMR a estimé, sur la base des rapports des Drs F______ et K______, qu'il fallait s'en tenir à ses conclusions précédentes et considérer que la capacité de travail était toujours nulle dans une activité ne respectant pas les limitations fonctionnelles déjà retenues et qu'elle était de 50% dans toute activité les respectant strictement (activités essentiellement sédentaires), hormis durant le mois post-opératoire, soit le mois de juin 2019.</w:t>
      </w:r>
    </w:p>
    <w:p>
      <w:r>
        <w:rPr>
          <w:b/>
        </w:rPr>
        <w:t>E. 29</w:t>
      </w:r>
    </w:p>
    <w:p>
      <w:r>
        <w:t>Par projet de décision du 19 novembre 2019, l'OAI a fait part à l'assuré de son intention de rejeter sa demande de rente d'invalidité au-delà du 31 décembre 2014. Suite à l'arrêt de la chambre des assurances sociales du 5 février 2019, l'OAI avait procédé à une instruction complémentaire pour examiner le droit à la rente au-delà du 31 décembre 2014. Or, après complément d'instruction médicale, il ressortait que ses précédentes conclusions restaient identiques, de sorte qu'il fallait considérer que la capacité de travail était toujours nulle dans une activité ne respectant pas les limitations fonctionnelles déjà retenues et qu'une capacité de travail de 50% dans toute activité respectant les limitations fonctionnelles restait toujours admise. La perte de gain était donc équivalente à 34%, soit un taux inférieur au 40% ouvrant le droit à des prestations de l'assurance-invalidité sous forme de rente.</w:t>
      </w:r>
    </w:p>
    <w:p>
      <w:r>
        <w:rPr>
          <w:b/>
        </w:rPr>
        <w:t>E. 30</w:t>
      </w:r>
    </w:p>
    <w:p>
      <w:r>
        <w:t>Le 9 janvier 2020, l'assuré s'est opposé à ce projet de décision. L'OAI ne pouvait pas confirmer sa position puisqu'il avait subi de nombreuses rechutes et une</w:t>
      </w:r>
    </w:p>
    <w:p>
      <w:r>
        <w:t>A/1557/2020 - 9/22 - nouvelle intervention chirurgicale le 29 mai 2019. Sa situation n'avait donc pas évolué favorablement. Le Dr K______ avait constaté une déformation du genou droit, ainsi qu'un épanchement intra-articulaire et, selon lui, l'évolution était défavorable et la conduite automobile était limitée, de sorte que l'assuré ne pouvait pas reprendre son activité professionnelle à plus de 40% en qualité de chauffeur. Bien que le Dr F______ avait considéré qu'il pourrait reprendre son activité dès le 1er septembre 2019 et qu'il avait effectivement repris son travail à cette date, en raison de nombreuses absences liées à ses problèmes de santé, il avait perdu son emploi. En outre, à la suite de cette reprise, il avait subi une nouvelle aggravation de son état de santé. Les premières constatations recueillies auprès de ses médecins suite à l'IRM effectuée en décembre 2019, étaient qu'il n'y avait plus aucune mesure chirurgicale qui pouvait être proposée et seule la pose d'une prothèse pourrait améliorer ses importantes limitations fonctionnelles. Il requérait un complément d'instruction quant aux constations tirées des examens effectués en décembre 2019 et indiquait être disposé à effectuer de nouvelles mesures de reclassement, puisque l'activité de chauffeur n'était clairement plus adaptée.</w:t>
      </w:r>
    </w:p>
    <w:p>
      <w:r>
        <w:rPr>
          <w:b/>
        </w:rPr>
        <w:t>E. 31</w:t>
      </w:r>
    </w:p>
    <w:p>
      <w:r>
        <w:t>Par courrier du 5 février 2020, l'assuré a produit une copie du rapport IRM du 2 décembre 2019 des docteurs L______ et M______, radiologues aux HUG. Selon les conclusions de ce rapport, l'assuré présentait un status post-résection de fragment ostéochondral instable du condyle fémoral interne avec chondropathie de grade IV résiduel à ce niveau, s'étendant sur 13 mm sur le plan coronal. L'œdème osseux adjacent avait disparu. La synovite villonodulaire multifocale était globalement stable, de même que les autres lésions chondrales condyliennes internes et fémoro-patellaire.</w:t>
      </w:r>
    </w:p>
    <w:p>
      <w:r>
        <w:rPr>
          <w:b/>
        </w:rPr>
        <w:t>E. 32</w:t>
      </w:r>
    </w:p>
    <w:p>
      <w:r>
        <w:t>Par avis du 11 mars 2020, le SMR a estimé que ce rapport d'IRM confirmait la stabilité des atteintes avec une résorption de l'œdème osseux, de même que l'amélioration de la répercussion au niveau osseux. Il fallait ainsi s'en tenir aux conclusions précédentes des avis du SMR des 21 octobre 2019 et 16 décembre 2015.</w:t>
      </w:r>
    </w:p>
    <w:p>
      <w:r>
        <w:rPr>
          <w:b/>
        </w:rPr>
        <w:t>E. 33</w:t>
      </w:r>
    </w:p>
    <w:p>
      <w:r>
        <w:t>Par avis du 24 mars 2020, le service de réadaptation de l'OAI a estimé qu'un marché équilibré du travail offrait un nombre significatif d'activités simples et légères, accessibles sans aucune formation particulière et respectant les limitations fonctionnelles de l'assuré, tels que surveillant de cantines scolaires, ouvrier sériel à l'établi, polisseur, emboîteur, contrôleur en salle blanche dans l'industrie légère, coursier, etc., et que des mesures professionnelles ne seraient ni simples ni adéquates et ne permettraient pas de réduire le dommage.</w:t>
      </w:r>
    </w:p>
    <w:p>
      <w:r>
        <w:rPr>
          <w:b/>
        </w:rPr>
        <w:t>E. 34</w:t>
      </w:r>
    </w:p>
    <w:p>
      <w:r>
        <w:t>Par décision du 28 avril 2020, l'OAI a confirmé son projet de décision, rejetant la demande de prestations de l'assuré au-delà du 31 décembre 2014.</w:t>
      </w:r>
    </w:p>
    <w:p>
      <w:r>
        <w:rPr>
          <w:b/>
        </w:rPr>
        <w:t>E. 35</w:t>
      </w:r>
    </w:p>
    <w:p>
      <w:r>
        <w:t>Par acte du 2 juin 2020, le recourant a, par l'intermédiaire de sa mandataire, interjeté recours contre cette décision. Il a préalablement conclu à ce que soit ordonnée une expertise orthopédique et rhumatologique indiquant clairement</w:t>
      </w:r>
    </w:p>
    <w:p>
      <w:r>
        <w:t>A/1557/2020 - 10/22 - l’évolution et les fluctuations de son état de santé et leur influence sur sa capacité de travail dans l’activité adaptée et, principalement, à l’octroi d’une rente d’invalidité au-delà du 1er janvier 2015 à ce jour, étant précisé que l’incapacité de travail avait peut-être fluctué durant cette période et jusqu’à ce jour. Subsidiairement, il a conclu à l'annulation de la décision litigieuse et au renvoi de la cause à l'intimé pour nouvelles mesures d'instruction et décision dans le sens des considérants. Contrairement à ce qui avait été ordonné par la chambre de céans par arrêt ATAS/91/2019 du 5 février 2019, l'intimé n'avait pas suffisamment investigué la question de la capacité de travail et les limitations fonctionnelles depuis mai 2014 et son évolution jusqu'à ce jour.</w:t>
      </w:r>
    </w:p>
    <w:p>
      <w:r>
        <w:t>Suite à son intervention de mai 2014, la Dresse B______ avait estimé qu'une longue récupération était nécessaire et que l'on ne pouvait pas retenir de capacité de travail avant mai 2015. En réalité, en mai 2015 il n'avait toujours pas récupéré, puisqu'il se déplaçait encore au moyen de béquilles, devait régulièrement subir des ponctions de genou et suivre des séances de physiothérapie, avait séjourné plusieurs fois à l'hôpital et dû porter régulièrement une atèle, l'incapacitant ainsi dans toute activité professionnelle, même adaptée et à temps partiel. Le Dr D______ ne motivait pas dans son rapport d'expertise pourquoi le mois d'octobre devait être retenu comme la date à laquelle il avait récupéré 50% de sa capacité de travail. Au contraire, les quelques éléments médicaux attestaient d'une récidive à cette période, qui s'était même aggravée jusqu'à l'IRM du 25 janvier 2017. Il avait retrouvé un emploi en tant que chauffeur depuis le mois d'octobre 2017, mais ses limitations fonctionnelles l'avaient empêché de travailler à plus de 40% et à la suite de nombreuses absences liées à son état de santé, il avait perdu cet emploi en septembre 2019. Il avait par la suite retrouvé du travail en qualité de magasinier, mais avait récemment perdu cet emploi en raison de la crise économique liée à la pandémie. Diverses aggravations de son état de santé avaient été constatées depuis 2018, mais n'avaient pas été correctement prises en considération par l'intimé. Malgré tous ses efforts, ses rechutes compromettaient sévèrement sa réinsertion dans le marché du travail.</w:t>
      </w:r>
    </w:p>
    <w:p>
      <w:r>
        <w:t>En outre, l'intimé lui avait nié à tort le droit à des mesure d'ordre professionnel, puisque l'activité pour laquelle il avait financé sa reconversion en qualité de chauffeur professionnel n'était pas adaptée à ses limitations fonctionnelles. Enfin, il fallait retenir le revenu effectivement réalisé à titre de revenu avec invalidité et non un revenu hypothétique.</w:t>
      </w:r>
    </w:p>
    <w:p>
      <w:r>
        <w:rPr>
          <w:b/>
        </w:rPr>
        <w:t>E. 36</w:t>
      </w:r>
    </w:p>
    <w:p>
      <w:r>
        <w:t>Par réponse du 13 juillet 2020, l'intimé a conclu au rejet du recours, estimant que les éléments apportés ne permettaient pas de faire une appréciation différente du cas. Il n'existait aucun motif de mettre en œuvre une instruction complémentaire et le recourant ne remplissait manifestement pas les conditions à l'octroi de mesures d'ordre professionnel.</w:t>
      </w:r>
    </w:p>
    <w:p>
      <w:r>
        <w:t>A/1557/2020 - 11/22 -</w:t>
      </w:r>
    </w:p>
    <w:p>
      <w:r>
        <w:rPr>
          <w:b/>
        </w:rPr>
        <w:t>E. 37</w:t>
      </w:r>
    </w:p>
    <w:p>
      <w:r>
        <w:t>Le 16 novembre 2020, le recourant a persisté dans ses conclusions. Le SMR n'avait pas tenu compte de son incapacité de travail entre le 29 mai et le 1er septembre 2019, se contentant de retenir une incapacité d'un mois post-opératoire, ce qui allait à l'encontre des certificats émanant des chirurgiens et médecins traitants. Bien que le Dr K______ ait confirmé qu'il ne pouvait pas exercer l'activité de chauffeur au- delà de 40%, le SMR retenait que la capacité de travail était toujours nulle dans une activité adaptée ne respectant pas les limitations fonctionnelles déjà retenues et de 50% dans toute activité les respectant strictement. L'instruction complémentaire par l'intimé était lacunaire. On ne trouvait notamment aucun document étayé permettant de répondre de manière claire à la question de savoir si l'activité de chauffeur - pour laquelle l'intimé l'avait reclassé - était adaptée. En outre, depuis son licenciement à la fin de l'année 2019, il n'avait pas pu reprendre ladite activité. Suite à l'instruction menée par l'intimé, plusieurs questions sur son état de santé, essentielles pour déterminer son degré d'invalidité et son droit à la rente, demeuraient sans réponse, de sorte qu'il s'étonnait que l'intimé n'ait pas jugé bon d'ordonner une expertise orthopédique et rhumatologique.</w:t>
      </w:r>
    </w:p>
    <w:p>
      <w:r>
        <w:rPr>
          <w:b/>
        </w:rPr>
        <w:t>E. 38</w:t>
      </w:r>
    </w:p>
    <w:p>
      <w:r>
        <w:t>Dans sa duplique du 7 décembre 2020, l'intimé a maintenu sa position, considérant que son instruction avait été menée à satisfaction de droit.</w:t>
      </w:r>
    </w:p>
    <w:p>
      <w:r>
        <w:rPr>
          <w:b/>
        </w:rPr>
        <w:t>E. 39</w:t>
      </w:r>
    </w:p>
    <w:p>
      <w:r>
        <w:t>Le 29 juin 2021, la chambre de céans a informé les parties de sa décision de mettre en œuvre une expertise orthopédique et rhumatologique et leur a communiqué le nom des experts, soit la Doctoresse N______, orthopédiste FMH, et le docteur O______, rhumatologue FMH, ainsi que les questions qu'elle avait l'intention de leur poser. Elle a imparti aux parties un délai pour qu’elles se prononcent sur une éventuelle récusation des experts et sur les questions libellées dans la mission d’expertise.</w:t>
      </w:r>
    </w:p>
    <w:p>
      <w:r>
        <w:rPr>
          <w:b/>
        </w:rPr>
        <w:t>E. 40</w:t>
      </w:r>
    </w:p>
    <w:p>
      <w:r>
        <w:t>Le 13 juillet 2021, l’OAI a indiqué à la chambre de céans qu’il n’avait pas de motif de récusation, ni de questions supplémentaires à poser. Quant au recourant, il ne s’est pas manifesté.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A/1557/2020 - 12/22 - 3. Le 1er janvier 2021 est entrée en vigueur la modification du 21 juin 2019 de la LPGA. Toutefois, dans la mesure où le recours était, au 1er janvier 2021, pendant devant la chambre de céans, il reste soumis à l'ancien droit (cf. art. 83 LPGA). 4. Le délai de recours est de trente jours (art. 56 LPGA; art. 62 al. 1 de la loi sur la procédure administrative du 12 septembre 1985 [LPA - E 5 10]). Lorsque le délai échoit un samedi, un dimanche ou un jour férié selon le droit fédéral ou cantonal, son terme est reporté au premier jour ouvrable qui suit (art. 38 al. 3 LPGA ; art. 17 al. 3 LPA). En l'espèce, la décision sur opposition a été notifiée le 30 avril 2020, de sorte que le délai de recours échoyait en principe le 31 mai 2020. Toutefois, comme le 31 mai 2020 était un dimanche et le 1er juin 2020 (lundi de Pentecôte) était légalement férié (art. 1 al. 1 let. e de la loi sur les jours fériés du 3 novembre 1951 [LJF - J 1 45]), le terme du délai de recours a été reporté au 2 juin 2020. Déposé à cette date, le recours a été interjeté en temps utile. Satisfaisant par ailleurs aux exigences formelles prescrites par la loi, il est recevable (art. 89B LPA). 5. Le litige porte sur le droit du recourant à une rente d'invalidité au-delà du 31 décembre 2014, plus particulièrement sur la capacité de travail depuis octobre 2014. 6. 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w:t>
      </w:r>
    </w:p>
    <w:p>
      <w:r>
        <w:t>A/1557/2020 - 13/22 - 31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w:t>
      </w:r>
    </w:p>
    <w:p>
      <w:r>
        <w:t>A/1557/2020 - 14/22 - d'invalidité lors d'une nouvelle révision de la rente (ATF 133 V 108 consid. 5.4 ;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A/1557/2020 - 15/22 -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10. Sans remettre en cause le principe de la libre appréciation des preuves, le Tribunal fédéral des assurances a posé des lignes directrices en ce qui concerne la manière d'apprécier certains types d'expertises ou de rapports médicaux. 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c. 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w:t>
      </w:r>
    </w:p>
    <w:p>
      <w:r>
        <w:t>A/1557/2020 - 16/22 -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e.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w:t>
      </w:r>
    </w:p>
    <w:p>
      <w:r>
        <w:t>A/1557/2020 - 17/22 -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12. a. En l'espèce, l'intimé a nié le droit à la rente dès janvier 2015, estimant que la capacité de travail est nulle dans une activité ne respectant pas les limitations fonctionnelles et de 50% dans toutes activités les respectant strictement, sous réserve de la période post-opératoire du mois de juin 2019. Il s'est fondé sur l'avis du 21 octobre 2019 du SMR. b. Le recourant allègue quant à lui que l'intimé n'a pas suffisamment instruit la question de sa capacité de travail et de son évolution. Il estime avoir subi de nombreuses rechutes qui n'ont pas été prises en compte par l'intimé. 13. a. En l'occurrence, en rendant sa décision du 10 janvier 2018, l'intimé a reconnu au recourant le droit à un quart de rente du 1er mai au 31 juillet 2014 et à une rente entière du 1er août au 31 décembre 2014. Il niait en revanche le droit à toute rente à partir du 1er janvier 2015, retenant - sur la base des conclusions de l'expertise du Dr D______ - que la capacité de travail était de 50% dans une activité adaptée dès octobre 2014, de sorte que les degrés d'invalidité retenus étaient insuffisants à l'octroi d'une rente. La chambre de céans avait alors annulé cette décision, estimant que l'expertise du Dr D______ avait pleine valeur probante, mais qu'il paraissait néanmoins vraisemblable, au degré requis par la jurisprudence, que le recourant subisse des rechutes en raison de son activité de chauffeur dans laquelle l'intimé l'avait reclassé. Elle a ainsi renvoyé le dossier à l'intimé pour instruction complémentaire sur la capacité de travail à compter d'octobre 2014. b. Dans le cadre de l'actuelle procédure, l'intimé s'est donc fondé sur l'avis du SMR, lequel a estimé qu'il fallait s'en tenir à ses précédentes conclusions, à savoir que la capacité de travail était toujours nulle dans une activité ne respectant pas les limitations fonctionnelles déjà retenues et de 50% dans toute activité les respectant</w:t>
      </w:r>
    </w:p>
    <w:p>
      <w:r>
        <w:t>A/1557/2020 - 18/22 - strictement, hormis durant le mois de juin 2019, période post-opératoire. Il indique s'être basé sur les rapports des Drs F______ et K______ pour rendre son avis. Le Dr F______, dans son rapport transmis à l'intimé le 24 septembre 2019, a constaté une bonne évolution suite à l'opération du 29 mai 2019, indiquant néanmoins que le recourant présentait une limitation de l'amplitude articulaire, des douleurs articulaires initiales et post-opératoires et devait éviter tout impact et port de charges lourdes. Il a estimé que la capacité de travail était de 50%, en précisant « à essayer » à partir du 1er septembre 2019. Il a également renvoyé l'intimé a son rapport de consultation du 22 mars 2017, lequel n'indique pas expressément la capacité de travail à ce moment-là, mais précise que la possibilité d'un traitement chirurgical est très limitée étant donné que le recourant était à la troisième récidive post-opératoire. Le Dr K______ a quant à lui estimé dans son rapport du 14 octobre 2019 que l'activité de chauffeur semblait à l'heure actuelle irréalisable à un taux supérieur à 40%, mais qu'il était possible d'imaginer une capacité de travail de 100% dans une activité épargnant complètement le genou et lui permettant de bouger son membre inférieur droit. Il a précisé que le recourant avait repris son activité de chauffeur à 40% le 1er septembre 2019 et que cette reprise s'était avérée pénible, mais possible. Il a également indiqué que l'évolution des pathologies de synovite villonodulaire et de status après fracture osthéochondrale du condyle interne du fémur droit, était défavorable, que le recourant était toujours symptomatique et que le traitement était entre les mains des HUG. Selon le Dr K______, le recourant ne pouvait ni se baisser, ni se relever, et encore moins avec des charges, il ne pouvait pas marcher plus de 30 minutes et la conduite automobile était limitée. Ainsi, la chambre de céans remarque en premier lieu que ces deux médecins traitants ne parviennent pas tout à fait aux mêmes conclusions, puisque selon le Dr F______ le recourant pouvait tenter de reprendre une activité à 50% dès le 1er septembre 2019, tandis que le Dr K______ parle d'une capacité de travail en octobre 2019 de 40% maximum dans l'activité de chauffeur et de 100% dans une activité épargnant complètement le genou et lui permettant de bouger son membre inférieur droit. Force est ensuite de constater, qu'en estimant que la capacité de travail était toujours nulle dans une activité ne respectant pas les limitations fonctionnelles déjà retenues et de 50% dans toute activité les respectant strictement, hormis durant le mois de juin 2019, le SMR s'est en réalité écarté tant des conclusions du Dr F______ que de celles du Dr K______, et ce, sans apporter de plus amples explications, indiquant simplement qu'il se justifiait de maintenir ses précédentes conclusions. c. La chambre de céans constate également que suite à son arrêt ATAS/91/2019, aucun nouveau rapport au dossier ne répond expressément à la question de savoir quelle était la capacité de travail du recourant depuis octobre 2014, ni son</w:t>
      </w:r>
    </w:p>
    <w:p>
      <w:r>
        <w:t>A/1557/2020 - 19/22 - évolution. Or, comme déjà souligné dans l'arrêt précité, il apparait, au degré de la vraisemblance prépondérante, que le recourant ait subi des rechutes, preuve en est du reste le nouveau traumatisme au genou en avril 2019, lequel a nécessité une opération le 27 mai 2019. d. En outre, suite à cette opération, un arrêt complet de travail a été prescrit au recourant jusqu'au 31 août 2019 et le Dr F______ a estimé qu'avant le 1er septembre 2019 la capacité de travail était nulle, ce qui n'est d'ailleurs pas remis en question par le Dr K______. Aussi s'étonne-t-on du fait que le SMR s'écarte des conclusions du Dr F______ s'agissant de la période post-opératoire, estimant qu'une période d'un mois suite à l'opération serait suffisante pour récupérer sa capacité de travail. e. Enfin, on ne comprend pas si l'activité de chauffeur, dans laquelle l'intimé a reclassé le recourant, est adaptée ou non à ses limitations fonctionnelles. f. Dans ces conditions, on ne peut que constater que les éléments au dossier ne permettent toujours pas à la chambre de céans de trancher le droit aux prestations du recourant dès janvier 2015. Lorsque le juge des assurances sociales constate qu'une instruction est nécessaire, il doit en principe mettre lui-même en œuvre une expertise (ATF 137 V 210). Il se justifie en l'occurrence d'ordonner une expertise bi-disciplinaire (orthopédique et rhumatologique), tant les deux volets paraissent imbriqués.</w:t>
      </w:r>
    </w:p>
    <w:p>
      <w:r>
        <w:t>*****</w:t>
      </w:r>
    </w:p>
    <w:p>
      <w:r>
        <w:t>PAR CES MOTIFS, LA CHAMBRE DES ASSURANCES SOCIALES : Statuant préparatoirement 1. Ordonne une expertise orthopédique et rhumatologique de Monsieur A______. 2. Commet à ces fins les docteurs N______, spécialiste en orthopédie et traumatologie de l'appareil locomoteur, Hôpital de La Tour, avenue J.-D. Maillard 3, à Meyrin, et O______, spécialiste FMH en rhumatologie, Centre médical de Cressy, route de Loëx 99, à Confignon. 3.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w:t>
      </w:r>
    </w:p>
    <w:p>
      <w:r>
        <w:t>A/1557/2020 - 20/22 - D. Charge les experts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L’état de santé de la personne expertisée s’est-il amélioré/détérioré depuis le 1er octobre 2014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w:t>
      </w:r>
    </w:p>
    <w:p>
      <w:r>
        <w:t>A/1557/2020 - 21/22 - 5.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6.3.4 L'activité de chauffeur, dans laquelle la personne expertisée a été reclassée, est-elle adaptée ? 6.4 Comment la capacité de travail de la personne expertisée a-t-elle évolué depuis le 1er octobre 2014 ?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t>A/1557/2020 - 22/22 - 8. Appréciation d'avis médicaux du dossier 8.1 Êtes-vous d'accord avec l’avis du Dr F______ de septembre 2019 ? En particulier avec les diagnostics posés, les limitations fonctionnelles constatées et l’estimation de la capacité de travail ? Si non, pourquoi ? 8.2 Êtes-vous d'accord avec l’avis du Dr K______ du 14 octobre 2019 ? En particulier avec les diagnostics posés, les limitations fonctionnelles constatées et l’estimation de la capacité de travail ? Si non, pourquoi ? 9. Quel est le pronostic ? 10. Des mesures de réadaptation professionnelle sont-elles envisageables ? 11. Faire toutes autres observations ou suggestions utiles E. Invite les experts à faire une appréciation consensuelle du cas s’agissant de toutes les problématiques ayant des interférences entre elles, notamment l’appréciation de la capacité de travail résiduelle. F. Invite les experts à déposer, dans les meilleurs délais, un rapport en trois exemplaires auprès de la chambre de céans. G. Réserve le fond ainsi que le sort des frais jusqu'à droit jugé au fond.</w:t>
      </w:r>
    </w:p>
    <w:p>
      <w:r>
        <w:t>La greffière</w:t>
      </w:r>
    </w:p>
    <w:p>
      <w:r>
        <w:t>Nathalie LOCHER</w:t>
      </w:r>
    </w:p>
    <w:p>
      <w:r>
        <w:t>La présidente</w:t>
      </w:r>
    </w:p>
    <w:p>
      <w:r>
        <w:t>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