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ATAS/1108/2017 vom 7. Dezember 2017</w:t>
      </w:r>
    </w:p>
    <w:p>
      <w:r>
        <w:t>GE Cour de justice, 2017-12-07, FR</w:t>
      </w:r>
    </w:p>
    <w:p>
      <w:r>
        <w:rPr>
          <w:b/>
        </w:rPr>
        <w:t xml:space="preserve">Quelle: </w:t>
      </w:r>
      <w:r>
        <w:t>https://mcp.opencaselaw.ch/entscheid/ge_gerichte_ATAS_1108_2017</w:t>
      </w:r>
    </w:p>
    <w:p>
      <w:r>
        <w:t>FR: GE_GERICHTE ATAS/1108/2017 du 7 décembre 2017</w:t>
      </w:r>
    </w:p>
    <w:p>
      <w:r>
        <w:t>IT: GE_GERICHTE ATAS/1108/2017 del 7 dicembre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Il convient de relever que cette compétence ne s’étend pas à la question des prestations d’aide sociale, également évoquée dans la décision litigieuse, question qui relève, elle, de la compétence de la Chambre administrative de la Cour de justice, devant laquelle une procédure parallèle a été initiée (A/3831/2017).</w:t>
      </w:r>
    </w:p>
    <w:p>
      <w:r>
        <w:rPr>
          <w:b/>
        </w:rPr>
        <w:t>E. 2</w:t>
      </w:r>
    </w:p>
    <w:p>
      <w:r>
        <w:t>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 cantonales, l’art. 43 LPCC ouvre les mêmes voies de droit. c) En l’espèce, le recours a été déposé dans les forme et délai prévus par la loi, de sorte qu’il est recevable.</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Ce sont donc les dispositions matérielles en vigueur à la période pour laquelle le droit aux prestations complémentaires est examiné qui sont applicables. Les règles de procédure s’appliquent quant à elles sans réserve dès le jour de leur entrée en vigueur (ATF 129 V 113, consid. 2.2 ; ATF 117 V 71 consid. 6b). Il s'ensuit que la LPGA, entrée en vigueur le 1er janvier 2003, est applicable à la présente procédure.</w:t>
      </w:r>
    </w:p>
    <w:p>
      <w:r>
        <w:t>A/3832/2017 - 5/9 -</w:t>
      </w:r>
    </w:p>
    <w:p>
      <w:r>
        <w:rPr>
          <w:b/>
        </w:rPr>
        <w:t>E. 4</w:t>
      </w:r>
    </w:p>
    <w:p>
      <w:r>
        <w:t>Le litige porte sur le bien-fondé de la demande en restitution de l’intimé, plus particulièrement sur la prise en compte, dans le calcul des prestations, du bien immobilier sis en Irak, dont le recourant indique qu’il appartient à sa future ex- épouse.</w:t>
      </w:r>
    </w:p>
    <w:p>
      <w:r>
        <w:rPr>
          <w:b/>
        </w:rPr>
        <w:t>E. 5</w:t>
      </w:r>
    </w:p>
    <w:p>
      <w:r>
        <w:t>L’art. 9 al. 1er LPC dispose que le montant de la prestation complémentaire annuelle correspond à la part des dépenses reconnues qui excède les revenus déterminants. Aux termes de l’art. 11 al. 1er LPC, les revenus déterminants comprennent notamment le produit de la fortune mobilière et immobilière (let. b) et un quinzième de la fortune nette - un dixième pour les bénéficiaires de rentes de vieillesse - dans la mesure où elle dépasse CHF 37'500.- pour les personnes seules et CHF 60'000.- pour les couples (let. c). Sur le plan cantonal, la part de la fortune nette prise en compte est d’un huitième - respectivement d’un cinquième (art. 5 let. c de la loi sur les prestations complémentaires cantonales à l’AVS et à l’AI [LPCC; J 4 25]).</w:t>
      </w:r>
    </w:p>
    <w:p>
      <w:r>
        <w:rPr>
          <w:b/>
        </w:rPr>
        <w:t>E. 6</w:t>
      </w:r>
    </w:p>
    <w:p>
      <w:r>
        <w:t>L’art. 65 al. 1 de la loi sur l'assurance-maladie (LAMal - RS 832.10) dispose que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Aux termes de l’art. 19 al. 1 de la loi d’application de la loi fédérale sur l’assurance-maladie (LaLAMal - J 3 05), conformément aux art. 65ss LAMal, l’État de Genève accorde aux assurés de condition économique modeste (ci-après : ayants droits) des subsides destinés à la couverture totale ou partielle des primes de l’assurance-maladie. Les subsides sont notamment destinés aux assurés bénéficiaires des prestations complémentaires à l'AVS/AI (cf. art. 20 al. 1 let. b LALAMal). Le service de l’assurance-maladie (SAM) est chargé du versement des subsides destinés à la réduction des primes (art. 19 al. 3 1ère phrase LALAMal). L’art. 22 al. 6 LALAMal dans sa teneur actuelle dispose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Dans sa teneur en vigueur jusqu’au 30 juin 2015, l’art. 22 al. 6 aLALAMal, prévoyait que les bénéficiaires de prestations complémentaires à l'AVS/AI ont droit à un subside égal au montant de leur prime d'assurance obligatoire des soins, mais au maximum au montant correspondant à la prime</w:t>
      </w:r>
    </w:p>
    <w:p>
      <w:r>
        <w:t>A/3832/2017 - 6/9 - moyenne cantonale fixée par le département fédéral de l'intérieur. Dès lors que le litige porte sur le droit au subside d’assurance-maladie pour une période antérieure à cette modification légale, c’est l’art. 22 al. 6 aLALAMal dans son ancienne teneur qui est applicable en l’espèce. En effet, s'agissant du droit applicable ratione temporis, en cas de changement de règles de droit, on applique les dispositions en vigueur lors de la réalisation de l'état de fait qui doit être apprécié juridiquement ou qui a des conséquences juridiques (ATF 138 V 176 consid. 7.1, ATF 121 V 97 consid. 1a). Concrètement, l'intimé procède au calcul des dépenses du bénéficiaire sans prendre en considération les primes d’assurance-maladie, puis il admet le droit au subside en fonction du montant de l’excédent de ressources (ATAS/1039/2013 du 29 octobre 2013 consid. 11a/cc).</w:t>
      </w:r>
    </w:p>
    <w:p>
      <w:r>
        <w:rPr>
          <w:b/>
        </w:rPr>
        <w:t>E. 7</w:t>
      </w:r>
    </w:p>
    <w:p>
      <w:r>
        <w:t>En l'espèce, le recourant ne conteste ni l’existence du bien immobilier litigieux, ni le fait que son épouse en soit propriétaire, ni encore sa valeur. C’est d’ailleurs lui qui a versé à la procédure les documents dont il ressort que son épouse est propriétaire d’un bien immobilier en Irak, d’une superficie de 408.57 m2, pour une valeur de 2'500 $/m2. Le recourant ne conteste pas non plus les nouveaux calculs auxquels s’est livré l’intimé suite à la prise en compte du bien en question, mais seulement cette prise en compte, en faisant valoir la procédure de divorce en cours et la séparation d’avec son épouse depuis fin 2015. Le fait que le bien immobilier pris en considération appartienne à l’épouse du recourant n’est pas pertinent. En effet, ainsi que l’a déjà relevé l’intimé, l’art. 9 al. 2 LPC (auquel renvoie également l’art. 5 LPCC) énonce que les dépenses reconnues et les revenus déterminants des conjoints sont additionnés. Or, durant la période litigieuse, il n’est pas contesté que le recourant était toujours marié et en ménage avec son épouse. Le recourant allègue qu’il ignorait que son épouse était propriétaire de ce bien jusqu’à récemment. Il admet cependant avoir lui-même fourni l’argent nécessaire à son acquisition en 1998 déjà. L’extrait du registre de la Direction de l’enregistrement Foncier de la République d’Irak date du 13 juillet 2011 et atteste que l’épouse du bénéficiaire en est devenue propriétaire avant la période litigieuse. Dans ces circonstances, c’est donc à juste titre que l’intimé a considéré que, durant la période litigieuse, le bien appartenait à l’épouse du recourant - alors comprise dans le calcul des prestations - et en a tenu compte dans le cadre de ses nouveaux calculs. Le fait que le recourant ignore que son épouse en était devenue propriétaire jusqu’à récemment ne lui est d’aucun secours à ce stade. Il pourra, cas échéant, faire valoir cette argumentation à l’appui de sa bonne foi dans une procédure de remise de l’obligation de restituer ultérieure.</w:t>
      </w:r>
    </w:p>
    <w:p>
      <w:r>
        <w:t>A/3832/2017 - 7/9 -</w:t>
      </w:r>
    </w:p>
    <w:p>
      <w:r>
        <w:rPr>
          <w:b/>
        </w:rPr>
        <w:t>E. 8</w:t>
      </w:r>
    </w:p>
    <w:p>
      <w:r>
        <w:t>Conformément à l’art. 31 al. 1 LPGA, l'ayant droit, ses proches ou les tiers auxquels une prestation est versée sont tenus de communiquer à l'assureur ou, selon le cas, à l'organe compétent toute modification importante des circonstances déterminantes pour l'octroi d'une prestation. L’art. 24 de l’ordonnance sur les prestations complémentaires à l’assurance- 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rPr>
          <w:b/>
        </w:rPr>
        <w:t>E. 9</w:t>
      </w:r>
    </w:p>
    <w:p>
      <w:r>
        <w:t>a. S'agissant des prestations complémentaires fédérales, selon l'art. 25 al. 1 1ère phrase LPGA, en relation avec l'art. 2 al. 1 let. a de l'ordonnance sur la partie générale du droit des assurances sociales du</w:t>
      </w:r>
    </w:p>
    <w:p>
      <w:r>
        <w:rPr>
          <w:b/>
        </w:rPr>
        <w:t>E. 11</w:t>
      </w:r>
    </w:p>
    <w:p>
      <w:r>
        <w:t>septembre 2002 (OPGA ; RS 830.11), les prestations complémentaires fédérales indûment touchées doivent être restituées par le bénéficiaire.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RS 837.0 ; par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w:t>
      </w:r>
    </w:p>
    <w:p>
      <w:r>
        <w:t>A/3832/2017 - 8/9 -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également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c. En l’occurrence, l’intimé a eu connaissance de l’existence du bien en janvier 2017, lorsque l’Hospice général lui a transmis la lettre rédigée par le recourant en personne. La demande en restitution est dès lors intervenue en temps utile. Qui plus est, ainsi qu’on l’a vu plus haut, les nouveaux calculs auxquels s’est livré l’intimé s’agissant des prestations complémentaires et des subsides d’assurance- maladie sont corrects. Eu égard aux considérations qui précèdent, le recours est rejeté, étant rappelé qu’il demeure loisible au recourant de déposer une demande de remise de l’obligation de restituer. Pour le surplus, la procédure est gratuite (art. 61 let. a LPGA).</w:t>
      </w:r>
    </w:p>
    <w:p>
      <w:r>
        <w:t>A/3832/2017 - 9/9 -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