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ATAS/1107/2020 vom 19. November 2020</w:t>
      </w:r>
    </w:p>
    <w:p>
      <w:r>
        <w:t>GE Cour de justice, 2020-11-19, FR</w:t>
      </w:r>
    </w:p>
    <w:p>
      <w:r>
        <w:rPr>
          <w:b/>
        </w:rPr>
        <w:t xml:space="preserve">Quelle: </w:t>
      </w:r>
      <w:r>
        <w:t>https://mcp.opencaselaw.ch/entscheid/ge_gerichte_ATAS_1107_2020</w:t>
      </w:r>
    </w:p>
    <w:p>
      <w:r>
        <w:t>FR: GE_GERICHTE ATAS/1107/2020 du 19 novembre 2020</w:t>
      </w:r>
    </w:p>
    <w:p>
      <w:r>
        <w:t>IT: GE_GERICHTE ATAS/1107/2020 del 19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w:t>
      </w:r>
    </w:p>
    <w:p>
      <w:r>
        <w:t>A/2417/2019 - 6/12 - Sur le plan matériel, sont en principe applicables les règles de droit en vigueur au moment où les faits juridiquement déterminants se sont produits (ATF 129 V 1 consid. 1; ATF 127 V 467 consid. 1 et les références).</w:t>
      </w:r>
    </w:p>
    <w:p>
      <w:r>
        <w:rPr>
          <w:b/>
        </w:rPr>
        <w:t>E. 4</w:t>
      </w:r>
    </w:p>
    <w:p>
      <w:r>
        <w:t>Interjeté dans les forme et délai prévus par la loi, le recours est recevable (art. 56ss LPGA et 62ss de la loi sur la procédure administrative du 12 septembre 1985 [LPA- GE - E 5 10]).</w:t>
      </w:r>
    </w:p>
    <w:p>
      <w:r>
        <w:rPr>
          <w:b/>
        </w:rPr>
        <w:t>E. 5</w:t>
      </w:r>
    </w:p>
    <w:p>
      <w:r>
        <w:t>Le litige porte sur le droit de la recourante à des prestations de l’assurance- 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w:t>
      </w:r>
    </w:p>
    <w:p>
      <w:r>
        <w:t>A/2417/2019 - 7/12 - b. Selon la jurisprudence applicable jusqu’en juillet 2019,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Cependant, dans un arrêt du 11 juillet 2019 (ATF 145 V 215),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désormais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(cf. à cet égard, ATF 141 V 281) si, et,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c.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w:t>
      </w:r>
    </w:p>
    <w:p>
      <w:r>
        <w:t>A/2417/2019 - 8/12 -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A/2417/2019 - 9/12 -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A/2417/2019 - 10/12 -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a nié le droit à toute prestation à l’assurée faute d’atteinte à la santé invalidante, ce qu’elle conteste en excipant de ses problèmes cardiologiques principalement, appuyée dans sa démarche par son médecin traitant, lequel souligne les « risques cardio-vasculaires de type malaises à l’emporte-pièce » et fait valoir qu’il serait dangereux de laisser sa patiente s’occuper seule d’enfants en bas âge. Selon lui, elle n’est plus capable d’exercer sa profession et devrait bénéficier d’une réadaptation professionnelle, étant précisé que ce même médecin, dans un rapport rédigé en novembre 2018, a évalué la capacité de l’assurée à exercer une activité adaptée à 100%. Comme le relève le SMR, les problèmes circulatoires ont été résolus sous médication adaptée et n’entraînent aucune limitation. Il n’y a donc pas d’atteinte invalidante sur ce plan. La cardiologue ne retient pas non plus d’atteinte à la santé durable, mais préconise cependant, tout comme le médecin traitant, d’éviter le travail avec de jeunes enfants, ce que le médecin traitant justifie par le risque de malaise. Ce risque paraît cependant limité, dans la mesure où moins de dix malaises sont survenus entre 2009 et 2019, ce qui représente moins d’un par année. Il n’en demeure pas moins que ce risque existe et qu’au surplus, il semble difficilement soutenable de retenir comme adaptée une activité consistant à laisser l’assurée seule responsable de jeunes enfants. Un changement de profession apparaît donc souhaitable, étant rappelé, une fois encore, que, selon le médecin traitant, sa patiente serait apte à exercer à plein temps une profession adaptée. S’agissant de la toxicomanie, force est de constater qu’elle n’a jamais empêché l’assurée de travailler, ni justifié d’arrêt de travail durable. Une évaluation telle que préconisée par la nouvelle jurisprudence développée par le Tribunal fédéral apparaît dès lors inutile, en l’absence totale d’indice en faveur d’une incapacité de travail durable du fait de la dépendance.</w:t>
      </w:r>
    </w:p>
    <w:p>
      <w:r>
        <w:t>A/2417/2019 - 11/12 - Sur le plan psychique, le psychiatre traitant conclut à une capacité de travail réduite à 50%, mais sans motiver aucunement son appréciation. Au contraire, il indique être dans l’incapacité de se prononcer quant à d’éventuelles limites fonctionnelles et souligne que sa patiente a toujours pu exercer une activité professionnelle, même du temps où elle consommait quotidiennement des opiacés. Eu égard à ce qui précède, c’est à juste titre que l’intimé a conclu à l’absence d’atteinte à la santé invalidante.</w:t>
      </w:r>
    </w:p>
    <w:p>
      <w:r>
        <w:rPr>
          <w:b/>
        </w:rPr>
        <w:t>E. 11</w:t>
      </w:r>
    </w:p>
    <w:p>
      <w:r>
        <w:t>Quoi qu’il en soit, en admettant comme indiqué précédemment que l’activité exercée jusqu’alors n’est plus exigible pour la sécurité des jeunes enfants pris en charge par la recourante, le droit à des prestations ne peut qu’être nié en l’état, faute d’un degré d’invalidité suffisant. En effet, la comparaison entre le revenu réalisé avant invalidité, soit CHF 33'525.- (demeuré inchangé depuis 2011 selon l’extrait du rassemblement des comptes individuels AVS), et celui que l’intéressée aurait pu obtenir en 2018 en exerçant à 75% une activité légère et répétitive, accessible sans formation particulière, soit CHF 41'892.86 (selon l’Enquête suisse sur la structure des salaires 2018, T1_tirage_skill_level, niveau 1 = CHF 4'465.- par mois = CHF 55'857.15 par an pour un horaire de 41,7 h./sem. = CHF 41'892.86) révèle une absence de perte de gain et donc d’invalidité, ce qui exclut par ailleurs l’octroi d’une mesure de reclassement dans une nouvelle profession, une telle mesure professionnelle étant soumise à la condition d’une invalidité de 20% au moins.</w:t>
      </w:r>
    </w:p>
    <w:p>
      <w:r>
        <w:rPr>
          <w:b/>
        </w:rPr>
        <w:t>E. 12</w:t>
      </w:r>
    </w:p>
    <w:p>
      <w:r>
        <w:t>Au vu de ce qui précède, le recours est rejeté.</w:t>
      </w:r>
    </w:p>
    <w:p>
      <w:r>
        <w:t>A/2417/2019 - 12/12 -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