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ATAS/1106/2008 vom 7. Oktober 2008</w:t>
      </w:r>
    </w:p>
    <w:p>
      <w:r>
        <w:t>GE Cour de justice, 2008-10-07, FR</w:t>
      </w:r>
    </w:p>
    <w:p>
      <w:r>
        <w:rPr>
          <w:b/>
        </w:rPr>
        <w:t xml:space="preserve">Quelle: </w:t>
      </w:r>
      <w:r>
        <w:t>https://mcp.opencaselaw.ch/entscheid/ge_gerichte_ATAS_1106_2008</w:t>
      </w:r>
    </w:p>
    <w:p>
      <w:r>
        <w:t>FR: GE_GERICHTE ATAS/1106/2008 du 7 octobre 2008</w:t>
      </w:r>
    </w:p>
    <w:p>
      <w:r>
        <w:t>IT: GE_GERICHTE ATAS/1106/2008 del 7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Le présent recours, interjeté dans les forme et délai prévus par la loi, est recevable (art. 56 à 60 LPGA).</w:t>
      </w:r>
    </w:p>
    <w:p>
      <w:r>
        <w:rPr>
          <w:b/>
        </w:rPr>
        <w:t>E. 4</w:t>
      </w:r>
    </w:p>
    <w:p>
      <w:r>
        <w:t>Le litige porte sur la question de savoir si l'état de santé de la recourante s'est aggravé depuis la décision du 6 décembre 2005 et, cas échéant, si la recourante présente un degré d'invalidité suffisant pour prétendre à l'octroi d'une rente.</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Cet article reprend en substance les termes de l'art. 41 de la loi sur l'assurance- invalidité dans sa teneur jusqu'au 31 décembre 2002, de sorte que les principes jurisprudentiels développés en la matière demeurent applicables (ATF 130 V 343 consid. 3.5).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Un motif de révision au sens de l'art. 17 LPGA doit clairement ressortir du dossier (ATFA non publié du 13 juillet 2006, I 406/05, consid. 4 et du 31 janvier 2003, I 559/02, consid. 3.2). Pour juger si un tel changement s'est produit, il faut comparer les faits tels qu'ils se présentaient au moment de la décision de rente initiale avec les circonstances régnant à l'époque de la décision litigieuse (ATF 130 V 343 consid. 3.5.2; ATF 125 V 369 consid. 2; ATF 109 V 262 consid. 4a). En l'occurrence, il s'agira de comparer la situation avant et après la décision du 6 décembre 2005, ce qui revient à comparer le rapport médical du Dr A__________, du 6 décembre 2002, le rapport médical de la Dresse B__________, des 13 et 16 janvier 2003 et l'expertise médicale du Prof. C__________ du 5 juin 2003 d'une part, au rapport de la Dresse B__________ du 8 mai 2007 et à l'avis médical SMR du 15 octobre 2007, d'autre part, et pour cela d'en déterminer la valeur probante.</w:t>
      </w:r>
    </w:p>
    <w:p>
      <w:r>
        <w:t>A/741/2008 - 6/7 -</w:t>
      </w:r>
    </w:p>
    <w:p>
      <w:r>
        <w:rPr>
          <w:b/>
        </w:rPr>
        <w:t>E. 6</w:t>
      </w:r>
    </w:p>
    <w:p>
      <w:r>
        <w:t>En l'espèce, la comparaison des documents médicaux précités ne laisse paraître aucune aggravation notable de l'état de santé de la recourante. On ne relève, en effet, aucun élément nouveau dans les documents établis postérieurement à la décision du 6 décembre 2005, tant en ce qui concerne les diagnostics que la capacité de travail de la recourante. L'état de santé de cette dernière, de même que sa capacité de travail sont ainsi restés inchangés depuis lors. La Dresse B__________, médecin traitant, indique en effet, dans son rapport du 8 mai 2007, que l'état de santé de la recourante est stationnaire, avec une tendance à l'aggravation. Elle atteste, par ailleurs, d'une capacité de travail de 50 % dans une activité adaptée, soit un taux identique à celui qu'elle avait retenu avant la décision du 6 décembre 2005. Le fait que la Dresse B__________ ait contesté l'appréciation initiale de l'OCAI n'apporte pas d'élément nouveau susceptible de remettre en cause le calcul du taux d'invalidité effectué en 2005. Au reste, on relève que la recourante elle-même n'indique qu'une aggravation légère de son état de santé. Par ailleurs,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en effet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Sur cette base, force est de constater qu'aucune aggravation notable de l'état de santé de la recourante ne peut être retenue.</w:t>
      </w:r>
    </w:p>
    <w:p>
      <w:r>
        <w:rPr>
          <w:b/>
        </w:rPr>
        <w:t>E. 7</w:t>
      </w:r>
    </w:p>
    <w:p>
      <w:r>
        <w:t>Par conséquent, le recours, mal fondé, doit être rejeté.</w:t>
      </w:r>
    </w:p>
    <w:p>
      <w:r>
        <w:rPr>
          <w:b/>
        </w:rPr>
        <w:t>E. 8</w:t>
      </w:r>
    </w:p>
    <w:p>
      <w:r>
        <w:t>La loi fédérale du 16 décembre 2005 modifiant la loi fédérale sur l'assurance- invalidité, entrée en vigueur le 1er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de la recourante.</w:t>
      </w:r>
    </w:p>
    <w:p>
      <w:r>
        <w:t>A/741/2008 - 7/7 -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