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ATAS/1105/2021 vom 2. November 2021</w:t>
      </w:r>
    </w:p>
    <w:p>
      <w:r>
        <w:t>GE Cour de justice, 2021-11-02, FR</w:t>
      </w:r>
    </w:p>
    <w:p>
      <w:r>
        <w:rPr>
          <w:b/>
        </w:rPr>
        <w:t xml:space="preserve">Quelle: </w:t>
      </w:r>
      <w:r>
        <w:t>https://mcp.opencaselaw.ch/entscheid/ge_gerichte_ATAS_1105_2021</w:t>
      </w:r>
    </w:p>
    <w:p>
      <w:r>
        <w:t>FR: GE_GERICHTE ATAS/1105/2021 du 2 novembre 2021</w:t>
      </w:r>
    </w:p>
    <w:p>
      <w:r>
        <w:t>IT: GE_GERICHTE ATAS/1105/2021 del 2 novembre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ratione materiae pour juger du cas d’espèce est ainsi établie.</w:t>
      </w:r>
    </w:p>
    <w:p>
      <w:r>
        <w:rPr>
          <w:b/>
        </w:rPr>
        <w:t>E. 2</w:t>
      </w:r>
    </w:p>
    <w:p>
      <w:r>
        <w:t>Reste à examiner sa compétence ratione loci. a. Aux termes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(al. 2). Le tribunal qui décline sa compétence transmet sans délai le recours au tribunal compétent (al. 3). La doctrine précise que les fors de l'art. 58 LPGA sont impératifs. Les parties ne peuvent y déroger expressément ou tacitement. L’alinéa 1 énonce la règle générale ; l’alinéa 2 prévoit des fors subsidiaires si l’un ou l’autre des points de rattachement auxquels se réfère l’alinéa 1 se trouve à l’étranger. Des fors spéciaux sont par ailleurs prévus par les lois relatives à certaines branches d’assurances sociales, en dérogation à l’art. 58 LPGA (Jean MÉTRAL, in Commentaire romand, Loi sur la partie générale des assurances sociales, 2018, no. 2 ad art. 58 LPGA). La LAA ne contient aucune disposition qui dérogerait à la compétence ratione loci définie par la LPGA, contrairement à ce que prévoit notamment la loi sur l’assurance-invalidité à son art. 69 al. 1, selon lequel les décisions et les décisions sur opposition des offices AI peuvent, en dérogation à l’art. 58 al. 1 LPGA, faire l’objet d’un recours auprès du Tribunal des assurances du canton de l’office qui a rendu la décision. Il s’ensuit que l’art. 58 LPGA est seul décisif pour établir la compétence ratione loci du tribunal des assurances. b. Or, l’intéressé est domicilié en France et ne l’a jamais été à Genève. Dans ce cas, il convient de prendre en considération le canton du domicile du dernier employeur en Suisse, conformément à l’art. 58 al. 2 LPGA. En l’occurrence, C______ SA a son siège à Lausanne et une succursale, au sein de laquelle l’intéressé travaille, à Genève.</w:t>
      </w:r>
    </w:p>
    <w:p>
      <w:r>
        <w:t>A/922/2021 - 4/10 - Selon la jurisprudence, une succursale est un établissement commercial qui, dans la dépendance d'une entreprise principale dont il fait juridiquement partie, exerce d'une façon durable, dans des locaux distincts, une activité similaire, en jouissant d'une certaine autonomie dans le monde économique et celui des affaires (ATF 117 II 85 consid. 3 p. 87; ATF 116 V 307 consid. 4a p. 313). Il a également souligné que même si la succursale est dépourvue d'existence juridique et n'a pas la capacité d'ester en justice (ATF 120 III 11 consid. 1a p. 13; arrêts 4A_510/2016 du 26 janvier 2017 consid. 3.2; 4A_533/2015 du 20 décembre 2016 consid. 2.3; 4A_422/2011 du 3 janvier 2012 consid. 2.3.1), son siège est susceptible de fonder un for dans divers domaines juridiques, notamment en droit privé (ATF 144 V 313 consid. 6.3). Le Tribunal fédéral a ainsi retenu qu’un for au siège de la succursale, en tant que domicile du dernier employeur suisse, est compatible avec l’art. 58 al. 2 LPGA, lorsqu’il constitue pour le litige un point de rattachement prépondérant. Tel est notamment le cas lorsque l’assuré a travaillé pour la succursale d'une société, dans un canton différent du siège principal (ATF 144 V 313 consid. 6.5). La compétence ratione loci de la chambre de céans est, au vu de cette jurisprudence, acquise, ce d’autant plus que les parties ne la contestent pas.</w:t>
      </w:r>
    </w:p>
    <w:p>
      <w:r>
        <w:rPr>
          <w:b/>
        </w:rPr>
        <w:t>E. 3</w:t>
      </w:r>
    </w:p>
    <w:p>
      <w:r>
        <w:t>Le délai de recours est de trente jours (art. 56 LPGA; art. 62 al. 1 de la loi sur la procédure administrative du 12 septembre 1985 [LPA - E 5 10]). Interjeté dans la forme et le délai prévus par la loi, le recours est recevable.</w:t>
      </w:r>
    </w:p>
    <w:p>
      <w:r>
        <w:rPr>
          <w:b/>
        </w:rPr>
        <w:t>E. 4</w:t>
      </w:r>
    </w:p>
    <w:p>
      <w:r>
        <w:t>Le litige porte sur le droit de l'intéressé à la prise en charge des suites de l'évènement du 15 juillet 2020, plus particulièrement sur la question de savoir si l'évènement survenu le 15 juillet 2020 est un accident au sens de l’art. 4 LPGA.</w:t>
      </w:r>
    </w:p>
    <w:p>
      <w:r>
        <w:rPr>
          <w:b/>
        </w:rPr>
        <w:t>E. 5</w:t>
      </w:r>
    </w:p>
    <w:p>
      <w:r>
        <w:t>En vertu de l'art. 6 al. 1 LAA, les prestations sont allouées en cas d'accident professionnel, d'accident non professionnel et de maladie professionnelle. Selon l'art. 4 LPGA, on entend par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Il suffit que l'un d'entre eux fasse défaut pour que l'événement ne puisse pas être qualifié d'accident et que, cas échéant, l'atteinte dommageable soit qualifiée de maladie (ATF 129 V 404 consid. 2.1, 122 V 232 consid. 1 et les références).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404 consid. 2.1, 122 V 233 consid. 1, 121 V 38 consid. 1a ainsi que les références). Ainsi, la jurisprudence a admis l'existence</w:t>
      </w:r>
    </w:p>
    <w:p>
      <w:r>
        <w:t>A/922/2021 - 5/10 -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l'intéressé (ATFA 1943 p. 69 s.).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3a). Doctrine et jurisprudence se sont efforcées d'établir des catégories de lésions pour lesquelles la condition du caractère extraordinaire joue un rôle décisif dans la qualification de l'événement en cause (cf. FRESARD, L'assurance-accidents obligatoire, in: Schweizerisches Bundesverwaltungsrecht [SBVR], Soziale Sicherheit ch. 16 à 18 et 30 à 35 ainsi que les citations). On ajoutera que,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118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 U 345 p. 422 consid. 2b). Par ailleurs,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constations de la médecine des accidents (brusque redressement du corps à partir de la position accroupie, accomplissement d'un geste violent ou d'un mouvement en étant lourdement chargé,</w:t>
      </w:r>
    </w:p>
    <w:p>
      <w:r>
        <w:t>A/922/2021 - 6/10 - changement de position corporelle de manière incontrôlée sous l'influence de phénomènes extérieurs (arrêt du Tribunal fédéral U 315/03 du 23 novembre 2004).</w:t>
      </w:r>
    </w:p>
    <w:p>
      <w:r>
        <w:rPr>
          <w:b/>
        </w:rPr>
        <w:t>E. 6</w:t>
      </w:r>
    </w:p>
    <w:p>
      <w:r>
        <w:t>Le droit aux prestations suppose également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 assuré doit être nié (arrêt du Tribunal fédéral U 239/05 du 31 mai 2006 consid. 2.1; ATF 129 V 177, consid. 3.1).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C_463/2009 du 23 novembre 2009 consid. 3).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2.2 et ATF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p. 291 s., arrêt du Tribunal fédéral U 351/04 du 14 février 2006 consid. 3.2).</w:t>
      </w:r>
    </w:p>
    <w:p>
      <w:r>
        <w:rPr>
          <w:b/>
        </w:rPr>
        <w:t>E. 7</w:t>
      </w:r>
    </w:p>
    <w:p>
      <w:r>
        <w:t>En l'espèce, l’intéressé, énervé parce qu’il avait heurté l’angle d’un casier avec son crâne, a donné un coup dans une porte, ce qui lui a occasionné une fracture du 5ème métacarpe de la main droite. a. Le Tribunal fédéral considère qu’il faut admettre l'existence d'un facteur extérieur générant un risque de lésion accru lorsqu'un geste quotidien représente</w:t>
      </w:r>
    </w:p>
    <w:p>
      <w:r>
        <w:t>A/922/2021 - 7/10 - une sollicitation du corps plus élevée que ce qui est physiologiquement normal et psychologiquement contrôlé. C'est le cas en particulier lors de la survenance d'une circonstance qui rend incontrôlable un geste de la vie courante, comme un accès de colère au cours duquel une personne effectue un mouvement violent non maîtrisé (ATF 139 V 327 consid 3.3.1). Il y a lieu de constater que la condition du facteur extérieur de l'atteinte est remplie et réside plus particulièrement dans ce coup. b. La chambre de céans a déjà eu l’occasion de juger que le fait de taper du pied contre le sol ou de donner un coup de poing contre un mur ou sur une table, relève d'un geste que l'on peut objectivement qualifier de quotidien ou d'habituel chez les personnes sujettes à la colère, autrement dit des incidents et péripéties de la vie courante, de sorte que la condition de l'événement extraordinaire définissant la notion même d'accident fait en revanche défaut (ATAS/1227/2011). c. Il résulte de ce qui précède que le caractère extraordinaire du facteur extérieur n'est en l’espèce pas réalisé. En raison du caractère cumulatif des conditions de l'art. 4 LPGA, l'événement du 15 juillet 2020 ne peut en conséquence être qualifié d'accident au sens de cette disposition.</w:t>
      </w:r>
    </w:p>
    <w:p>
      <w:r>
        <w:rPr>
          <w:b/>
        </w:rPr>
        <w:t>E. 8</w:t>
      </w:r>
    </w:p>
    <w:p>
      <w:r>
        <w:t>a. Il s'agit à ce stade de déterminer s’il y a lieu d’admettre une lésion assimilée ouvrant droit aux prestations d'assurance, même si elle n’a pas été causée par un facteur extérieur de caractère extraordinaire. b. Selon l'art. 6 al. 2 LAA, le Conseil fédéral peut inclure dans l'assurance des lésions corporelles qui sont semblables aux conséquences d'un accident. Aux termes de l'art. 9 al. 2 ordonnance sur l'assurance-accidents, du 20 décembre 1982 (OLAA ; RS 832.202),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123 V 43 consid. 2b p. 44, 116 V 145 consid. 2c p. 147, 114 V 298 consid. 3c p. 301). Si, par contre, une telle lésion est survenue sans avoir été déclenchée par un facteur extérieur soudain et involontaire, elle est</w:t>
      </w:r>
    </w:p>
    <w:p>
      <w:r>
        <w:t>A/922/2021 - 8/10 - manifestement imputable à une maladie ou à des phénomènes dégénératifs et il appartient à l'assurance-maladie d'en prendre en charge les suites (arrêt du Tribunal fédéral 8C_357/2007 du 31 janvier 2008). En cas de lésions corporelles assimilées à un accident, toutes les conditions constitutives de la notion d'accident doivent être réalisées à l'exception du caractère extraordinaire de la cause extérieure.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il faudra conclure que les troubles constatés sont manifestement imputables à une maladie ou à des phénomènes dégénératifs dont la prise en charge incombe à l'assurance- maladie (ATF 129 V 468 consid. 4, 123 V 44 sv. consid. 2b, 116 V 147 consid. 2c, 114 V 301 consid. 3c; RAMA 2001 U no 435 p. 332, 1988 U no 57 p. 373 consid. 4b; Bühler, loc. cit., p. 87). c. En l'espèce, le médecin du Centre Médical Chirurgical D______ SA a diagnostiqué une fracture du 5ème métacarpe de la main droite. Cette fracture constitue bien une lésion assimilée au sens de l'art. 9 al. 2 let. a OAA, ce qui ouvre en principe le droit à des prestations LAA.</w:t>
      </w:r>
    </w:p>
    <w:p>
      <w:r>
        <w:rPr>
          <w:b/>
        </w:rPr>
        <w:t>E. 9</w:t>
      </w:r>
    </w:p>
    <w:p>
      <w:r>
        <w:t>a. L'article 37 al. 1 LAA précise toutefois qu'aucune prestation AA n'est allouée si l'atteinte a été provoquée intentionnellement par l'assuré. Le dol éventuel suffit à cet égard pour retenir l'intention. L'existence d'un accident - ou, comme en l'occurrence, d'une lésion corporelle assimilée à un accident - ne peut être niée que si l'intention porte sur l'atteinte à la santé et non sur le comportement qui produit l'atteinte dommageable (ATF 115 V 151 consid. 4 p. 152 ; ATF 139 V 327). Dans un arrêt du 13 juin 2017, du reste cité par l’assureur, le Tribunal fédéral a jugé que la personne, prise d'un accès de colère ou sous le coup d'une frustration, qui frappe volontairement une paroi avec le poing pour se défouler et qui, de ce fait, subit une déchirure du tendon extenseur de l'auriculaire, agit par dol éventuel. Il a considéré qu’étant donné la violence du coup, le risque de blessure était si prévisible que l'assuré ne pouvait plus croire que le résultat ne se réaliserait pas (ATF 143 V 285 consid. 4.2.4). b. L’intéressé fait valoir que les circonstances dans lesquelles il s’est blessé ne sont pas les mêmes que celles sur lesquelles s’est déterminé le Tribunal fédéral dans cet arrêt, dans la mesure où son geste s'inscrit dans la foulée immédiate d'un accident assuré (heurt de la porte de casier ouverte avec sa tête lui ayant causé une intense douleur). Il conteste ainsi avoir agi par dol éventuel. Selon lui, le coup porté sur la porte en métal souple du casier, qui n'était pas d'une grande violence, n'était en principe pas de nature à provoquer une blessure, en tout cas pas de l'importance de celle subie. Selon lui, le risque de blessure n'était ainsi pas si prévisible que ça.</w:t>
      </w:r>
    </w:p>
    <w:p>
      <w:r>
        <w:t>A/922/2021 - 9/10 - L’assureur considère au contraire que ladite atteinte doit être considérée comme volontaire, survenue par dol éventuel au moins, et non pas comme étant la conséquence d'un mouvement réflexe. c. L’intéressé allègue que le coup qu’il a donné à la porte était un geste-reflexe, sans temps de réflexion, qu’il a agi sous l’effet de la douleur, alors que dans le cas traité par le Tribunal fédéral, le coup de poing asséné par l’assuré contre une paroi l’avait été pour se défouler. Aussi le coup porté par ce dernier n’était-il pas le résultat d’une émotion aussi soudaine, que l’avait été la sienne. Il ne fait cependant aucun doute que dans les deux cas, le coup donné est le résultat d'un mouvement émotionnel. L'état d'esprit affectif n'y change rien. Il s’agit surtout de déterminer si l’intéressé pouvait imaginer que son acte aurait des conséquences dommageables pour lui, si, en d’autres termes, le risque de blessure était prévisible. Il y a à cet égard lieu de relever que la porte qu’il a frappée est certes une porte de casier métallique dont la paroi est relativement souple, ce qui pourrait l’avoir conduit à penser qu’il ne subirait aucune lésion. Il importe toutefois de constater que le fait qu’il ait subi une fracture implique nécessairement qu’il a frappé cette porte avec force, ce d’autant plus que la porte du casier était relativement souple. Or, selon le Tribunal fédéral, plus le coup est porté avec force, plus une telle conséquence de blessure est proche et plus elle est susceptible d'être perçue comme une conséquence possible par les connaissances de la personne qui agit. Il va de soi en l’espèce que l’intéressé n’a pas agi intentionnellement pour se blesser. Il n’a en tout cas pas mesuré l’étendue complète des conséquences de son acte. Compte tenu toutefois de la force du coup, la probabilité d’une blessure était très élevée. Il a vraisemblablement, au degré requis par la jurisprudence, frappé la porte de manière non dosée et non contrôlée, contre toute diligence raisonnable. Aussi le dol éventuel ne peut-il être que retenu. Le recours est en conséquence rejeté.</w:t>
      </w:r>
    </w:p>
    <w:p>
      <w:r>
        <w:t>A/922/2021 - 10/10 -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