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ATAS/1105/2011 vom 23. November 2011</w:t>
      </w:r>
    </w:p>
    <w:p>
      <w:r>
        <w:t>GE Cour de justice, 2011-11-23, FR</w:t>
      </w:r>
    </w:p>
    <w:p>
      <w:r>
        <w:rPr>
          <w:b/>
        </w:rPr>
        <w:t xml:space="preserve">Quelle: </w:t>
      </w:r>
      <w:r>
        <w:t>https://mcp.opencaselaw.ch/entscheid/ge_gerichte_ATAS_1105_2011</w:t>
      </w:r>
    </w:p>
    <w:p>
      <w:r>
        <w:t>FR: GE_GERICHTE ATAS/1105/2011 du 23 novembre 2011</w:t>
      </w:r>
    </w:p>
    <w:p>
      <w:r>
        <w:t>IT: GE_GERICHTE ATAS/1105/2011 del 23 novembre 2011</w:t>
      </w:r>
    </w:p>
    <w:p>
      <w:pPr>
        <w:pStyle w:val="Heading2"/>
      </w:pPr>
      <w:r>
        <w:t>Erwägungen</w:t>
      </w:r>
    </w:p>
    <w:p>
      <w:r>
        <w:rPr>
          <w:b/>
        </w:rPr>
        <w:t>E. 16</w:t>
      </w:r>
    </w:p>
    <w:p>
      <w:r>
        <w:t>Selon l’art. 8 al. 1er LAI, les assurés invalides ou menacés d’une invalidité (art.8 LPGA) ont droit à des mesures de réadaptation pour autant que ces mesures soient nécessaires et de nature à rétablir, maintenir ou améliorer leur capacité de gain ou leur capacité d’accomplir leurs travaux habituels (let.a) et que les conditions d’octroi des différentes mesures soient remplies (let.b). L’art. 8 al. 3 let. b LAI dispose que les mesures de réadaptation comprennent les mesures d’ordre professionnel (orientation professionnelle, formation professionnelle initiale, reclassement, placement, aide en capital). Le droit à une mesure de réadaptation suppose qu'elle soit appropriée au but de la réadaptation poursuivi par l'assurance-invalidité, tant objectivement en ce qui concerne la mesure que sur le plan subjectif en ce qui concerne la personne de l'assuré (VSI 2002 p. 111 consid. 2 et les références).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Selon la jurisprudence constante, le droit à des mesures de reclassement (et à d'autres mesures de réadaptation professionnelle) ne peut être refusé en raison du manque de faculté subjective de reclassement que dans la mesure où la procédure de mise en demeure prescrite à l'art. 21 al. 4 LPGA a été observée (ATF non publié 9C_100/2008 du 4 février 2009 et les références). 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Est</w:t>
      </w:r>
    </w:p>
    <w:p>
      <w:r>
        <w:t>A/3692/2010 - 21/22 - réputé invalide au sens de l’art. 17 LAI celui qui n’est pas suffisamment réadapté, l’activité lucrative exercée jusque 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124 V 110 consid. 2b et les références).</w:t>
      </w:r>
    </w:p>
    <w:p>
      <w:r>
        <w:rPr>
          <w:b/>
        </w:rPr>
        <w:t>E. 17</w:t>
      </w:r>
    </w:p>
    <w:p>
      <w:r>
        <w:t>Quand bien même la recourante présente un degré d'invalidé ouvrant droit à une mesure de reclassement et qu'elle n'y est - contrairement à ce que l'intimé soutient - pas opposée, il apparaît qu'un reclassement n'est pas nécessaire pour mettre en valeur sa capacité de gain. En effet, des activités simples et répétitives - auxquelles peut prétendre la recourante - peuvent précisément être exercées indépendamment de toute formation spécifique, seul un apprentissage sur le terrain étant nécessaire. En revanche, il se justifie que l'intimé se prononce sur d'autres mesures professionnelles, en particulier sur une aide au placement.</w:t>
      </w:r>
    </w:p>
    <w:p>
      <w:r>
        <w:rPr>
          <w:b/>
        </w:rPr>
        <w:t>E. 18</w:t>
      </w:r>
    </w:p>
    <w:p>
      <w:r>
        <w:t>Au bénéfice des explications qui précèdent, le recours sera très partiellement admis dans le sens des considérants. Etant donné que depuis le 1er juillet 2006, la procédure n'est plus gratuite (art. 69 al. 1bis LAI), il y a lieu de condamner l'OAI au paiement d'un émolument de 200 fr.</w:t>
      </w:r>
    </w:p>
    <w:p>
      <w:r>
        <w:t>Au vu de l’issue du litige, l’intimé sera en outre condamné à payer à la recourante une indemnité réduite à titre de participation à ses frais et dépens, que la Cour fixe en l’espèce à 800 fr. (art. 89H al. 3 de la loi sur la procédure administrative, du 12 septembre 1985 - LPA ; RS E 5 10 ; art. 61 let. g LPGA)</w:t>
      </w:r>
    </w:p>
    <w:p>
      <w:r>
        <w:t>A/3692/2010 - 22/22 -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