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ATAS/1104/2021 vom 2. November 2021</w:t>
      </w:r>
    </w:p>
    <w:p>
      <w:r>
        <w:t>GE Cour de justice, 2021-11-02, FR</w:t>
      </w:r>
    </w:p>
    <w:p>
      <w:r>
        <w:rPr>
          <w:b/>
        </w:rPr>
        <w:t xml:space="preserve">Quelle: </w:t>
      </w:r>
      <w:r>
        <w:t>https://mcp.opencaselaw.ch/entscheid/ge_gerichte_ATAS_1104_2021</w:t>
      </w:r>
    </w:p>
    <w:p>
      <w:r>
        <w:t>FR: GE_GERICHTE ATAS/1104/2021 du 2 novembre 2021</w:t>
      </w:r>
    </w:p>
    <w:p>
      <w:r>
        <w:t>IT: GE_GERICHTE ATAS/1104/2021 del 2 novembre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A/241/2021 - 5/19 - Sa compétence pour juger du cas d’espèce est ainsi établie.</w:t>
      </w:r>
    </w:p>
    <w:p>
      <w:r>
        <w:rPr>
          <w:b/>
        </w:rPr>
        <w:t>E. 2</w:t>
      </w:r>
    </w:p>
    <w:p>
      <w:r>
        <w:t>Interjeté dans les forme et délai prévus par la loi, le recours est recevable (art. 56 et 60 LPGA).</w:t>
      </w:r>
    </w:p>
    <w:p>
      <w:r>
        <w:rPr>
          <w:b/>
        </w:rPr>
        <w:t>E. 3</w:t>
      </w:r>
    </w:p>
    <w:p>
      <w:r>
        <w:t>Il y a lieu de constater que l'OAI a intitulé la décision litigieuse « aucun droit à la rente » et ne se prononce que sur cette question. Dans son préavis du 2 mars 2021, il précise toutefois que le stage d’observation professionnelle et la mesure d’entrainement à l’endurance n’ont pas permis d’envisager la prise en charge d’une formation professionnelle initiale. Dans son recours, l’assuré a conclu à l’octroi d’une telle mesure. Il importe de rappeler préalablement que les mesures de réadaptation ont la priorité sur la rente. D’après la jurisprudence, on applique en effet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Le litige porte ainsi, principalement, sur le droit de l'assuré à des mesures de formation professionnelle, plus particulièrement à une formation professionnelle initiale et, subsidiairement, à une rente entière d’invalidité dès le 1er janvier 2018.</w:t>
      </w:r>
    </w:p>
    <w:p>
      <w:r>
        <w:rPr>
          <w:b/>
        </w:rPr>
        <w:t>E. 4</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w:t>
      </w:r>
    </w:p>
    <w:p>
      <w:r>
        <w:t>A/241/2021 - 6/19 -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On rappellera qu'il n'existe pas un droit inconditionnel à obtenir une mesure professionnelle (voir par ex. l'arrêt du Tribunal fédéral 9C_385/2009 du 13 octobre 2009). Contrairement à ce qui prévaut en matière de rentes (art. 28 al. 1er LAI), la loi ne dit pas à partir de quel degré d’invalidité l’assuré peut prétendre des mesures de réadaptation.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D'après la circulaire sur les mesures de réadaptation d'ordre professionnel de l'Office fédéral des assurances sociales (ci-après : CMRP, valable à partir du 1er janvier 2014), n'entrent en considération, pour l'octroi de prestations, que les mesures qui correspondent aux capacités et, dans la mesure du possible, aux dispositions des assurés et qui visent à atteindre le but de la réadaptation de manière simple et adéquate. Cette exigence implique un rapport raisonnable entre, d'une part, la durée et les coûts de la mesure et, d'autre part, le résultat économique (au sens de l'efficacité de la réadaptation). La formation professionnelle répondra en outre aux exigences du marché du travail et aura lieu autant que possible sur le marché primaire de l'emploi et dans des centres de formation pour bien portants (CMRP ch. 1006). Concernant les handicapés psychiques, les mesures d’ordre professionnel sont aménagées autant que possible, quant au temps et à l’organisation, de manière à</w:t>
      </w:r>
    </w:p>
    <w:p>
      <w:r>
        <w:t>A/241/2021 - 7/19 - pouvoir tenir compte des variations de l’état de santé de manière appropriée. Ces mesures ne sont pas appliquées uniquement pour des raisons thérapeutiques. Toutefois, une mesure professionnelle produisant un effet secondaire positif sur le plan thérapeutique peut entrer en considération si l’accent est mis sur la réadaptation professionnelle immédiate. À teneur de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Est notamment assimilée à la formation professionnelle initiale la préparation à un travail auxiliaire ou à une activité en atelier protégé (al. 2 let. a). L'art. 5 al. 1 du règlement sur l'assurance-invalidité du 17 janvier 1961 (RAI-RS 831.201) prévoit que sont réputées formation professionnelle initiale toute formation professionnelle initiale au sens de la loi fédérale du 13 décembre 2002 sur la formation professionnelle, ainsi que la fréquentation d'écoles supérieures, professionnelles ou universitaires faisant suite aux classes de l'école publique ou spéciale fréquentées par l'assuré, de même que la préparation professionnelle à un travail auxiliaire ou à une activité en atelier protégé. Il faut entendre par formation professionnelle initiale le développement systématique d’une personne ayant terminé sa formation scolaire et fait son choix professionnel, dans le but précis de la rendre apte à exercer une profession et dans la perspective d’aptitudes suffisamment utilisables au plan économique (RCC 1982, p. 470). La formation scolaire est réputée achevée lorsque toutes les conditions scolaires et personnelles pour suivre une formation professionnelle initiale sont remplies (art. 16 LAI). Les conditions suivantes doivent être remplies de façon cumulative : - il doit s'agir d'une invalidité qui limite considérablement l'assuré dans sa formation professionnelle et entraîne d'importants frais supplémentaires dus à l'invalidité ; - l'assuré doit être apte à la réadaptation, c'est-à-dire qu'il doit être objectivement et subjectivement en état de suivre avec succès des mesures de formation professionnelle ; - la formation doit être adaptée au handicap et correspondre aux capacités de l’assuré ; en outre, simple et adéquate, elle doit lui permettre de s'insérer dans la vie active ou dans le domaine d'activité prévu ; l'AI ne prend pas en charge les frais d'une formation qui n'aboutira vraisemblablement pas à un travail suffisamment rentable sur le plan économique ; un travail est réputé suffisamment rentable sur le plan économique lorsqu'il permet de réaliser un salaire au rendement d'au moins CHF 2,55 par heure (CMRP ch. 3010). Ont droit à une formation professionnelle initiale les assurés :</w:t>
      </w:r>
    </w:p>
    <w:p>
      <w:r>
        <w:t>A/241/2021 - 8/19 - - qui n'avaient pas encore achevé leur formation professionnelle avant la survenance de l'atteinte à la santé ; - qui ont dû, à la suite d'une atteinte à leur santé, interrompre leur formation professionnelle initiale et qui, durant celle-ci, n'avaient pas encore acquis en dernier lieu un revenu supérieur à 30% du montant maximum de l'indemnité journalière (art. 6 al. 2 RAI, a contrario) ; - qui n'ont jamais pu achever une formation en raison de leur invalidité et qui ont exercé ensuite diverses activités d'une durée limitée (CMRP ch. 3011). Les assurés qui remplissent les conditions d'une formation professionnelle initiale peuvent être préparés à une activité auxiliaire sur le marché primaire de l'emploi ou à une activité en atelier protégé pour autant que la formation offre une perspective de mise en valeur économique suffisante (ch. 3010) et qu'il soit impossible, sans ces mesures, d'envisager un placement sur le marché primaire de l'emploi ou en atelier protégé (CMRP ch. 3013).</w:t>
      </w:r>
    </w:p>
    <w:p>
      <w:r>
        <w:rPr>
          <w:b/>
        </w:rPr>
        <w:t>E. 5</w:t>
      </w:r>
    </w:p>
    <w:p>
      <w:r>
        <w:t>Concernant les handicapés psychiques, les mesures d’ordre professionnel sont aménagées autant que possible, quant au temps et à l’organisation, de manière à pouvoir tenir compte des variations de l’état de santé de manière appropriée. Ces mesures ne sont pas appliquées uniquement pour des raisons thérapeutiques. Toutefois, une mesure professionnelle produisant un effet secondaire positif sur le plan thérapeutique peut entrer en considération si l’accent est mis sur la réadaptation professionnelle immédiate.</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Il convient en l'espèce de déterminer si l'assuré peut prétendre à l’octroi d’une formation professionnelle initiale. Il n’est pas contesté qu’il souffre d’une infirmité congénitale qui lui a ouvert le droit à diverses prestations de la part de l’OAI et qui diminuera probablement ses possibilités de gain sur le marché du travail équilibré. Il n’est pas non plus contesté qu’il a achevé sa scolarité obligatoire, qu'il a bénéficié d'un suivi psychothérapeutique d'une mesure scolaire spéciale au CMP et qu'il n’a encore jamais exercé d’activité lucrative ou suivi de formation.</w:t>
      </w:r>
    </w:p>
    <w:p>
      <w:r>
        <w:t>A/241/2021 - 9/19 - Partant, l'assuré, présumé invalide, peut en principe prétendre à l’octroi d’une formation professionnelle initiale.</w:t>
      </w:r>
    </w:p>
    <w:p>
      <w:r>
        <w:rPr>
          <w:b/>
        </w:rPr>
        <w:t>E. 8</w:t>
      </w:r>
    </w:p>
    <w:p>
      <w:r>
        <w:t>Il s'agit à ce stade d'examiner son aptitude à suivre une telle formation. a. Le Dr D______ a réalisé une expertise le 8 octobre 2020, à la demande de l'OAI. Il y a lieu de constater que le rapport remplit sur le plan formel toutes les exigences auxquelles la jurisprudence soumet la valeur probante d’un tel document. Il contient le résumé du dossier les indications subjectives de l’assuré, des observations cliniques, ainsi qu’une discussion générale du cas. Ses conclusions sont claires et bien motivées. Il y a toutefois lieu de constater qu’il a, d'une part, évalué la capacité de travail à 100%, sans baisse de rendement, dès 2018, dans une activité adaptée comprenant une hiérarchie simple sans relations sociales complexes dans une activité légère intellectuellement tenant compte de ses désirs, et, d'autre part, recommande une aide à la réinsertion professionnelle, « car ceci pourrait améliorer le diagnostic ». Il considère en effet que cette capacité de travail pourrait devenir nulle « selon la jurisprudence en vigueur » en cas d’évolution négative vers un épisode dépressif sévère probable, en cas d’absence de soutien pour une réadaptation professionnelle. Le pronostic psychiatrique est en revanche positif en cas de réadaptation professionnelle. La capacité de travail peut en effet être améliorée par des mesures médicales dans le sens d’une réadaptation professionnelle et d’une aide à la réinsertion professionnelle après la réalisation d’un bilan de compétences et mise en place d’un suivi psychiatrique hebdomadaire avec sevrage du cannabis pour diminuer le déconditionnement. Le Dr D______ a à cet égard relevé que dans cette situation clinique, sans le TDAH, l'assuré aurait pu obtenir des meilleurs résultats professionnels, mais malgré la présence du trouble et ses limitations dans les activités nécessitant une constance optimale, il ne présente pas de limitations fonctionnelles objectivables l'empêchant de faire une formation s'il était motivé. Le déconditionnement, les abus de substances expliquent sa situation professionnelle actuelle. De plus, le cannabis augmente le déconditionnement de l'assuré et diminue les chances de réinsertion professionnelle et de conserver un emploi stable. Il a retenu un trouble mixte de la personnalité émotionnellement labile de type impulsif et anxieuse qui décompense ponctuellement, dans le contexte d'un trouble dépressif récurrent léger depuis janvier 2018 au présent. Il souligne toutefois que ce trouble de la personnalité, présent depuis le début de l'âge adulte, n'a pas empêché l'assuré d’avoir des liens sociaux quotidiens, sans limitations, et n'a pas nécessité de traitement psychotrope durable ni hospitalisation psychiatrique, ce qui prouve qu'il n'est pas durablement décompensé. Il a considéré qu’au moment de l'expertise, l'assuré avait de bonnes capacités et ressources personnelles, car il arrive à gérer son quotidien sans difficultés d'un</w:t>
      </w:r>
    </w:p>
    <w:p>
      <w:r>
        <w:t>A/241/2021 - 10/19 - point de vue purement psychiatrique et garder des bonnes relations avec plusieurs amis, mais a reconnu qu’un isolement social partiel était probable. Il a constaté que l'assuré présentait une motivation ambivalente pour une réadaptation professionnelle dans un contexte de déconditionnement et une motivation nulle pour un sevrage au cannabis. Selon l’expert, les avantages secondaires sont clairement exprimés chez un assuré qui explique que son déconditionnement et sa démotivation seraient en lien avec la question du pourquoi il doit travailler si de toute façon soit sa mère, soit le social, soit la rente AI, seraient d'accord de le payer pour continuer à faire des jeux vidéo huit heures par jour et voir ses copains quotidiennement. Il a conclu à l’existence d’une « discordance entre une diminution de la capacité de travail selon le psychiatre traitant et l'absence de limitations fonctionnelles selon la journée type, mais aussi selon les plaintes de l'assuré et selon même l'appréciation du psychiatre traitant qui met en avant le fait que l'assuré pourrait se former s'il n'avait pas de manque de motivation ». Le médecin traitant considère quant à lui que le pronostic n'est à ce jour pas favorable et que si une capacité d'apprentissage existe, elle est très difficile à mettre en œuvre vu l'absence de motivation. b. Il résulte du rapport établi par les EPI le 23 septembre 2019 à l’issue du stage au sein du secteur Jeunes des EPI, auquel l’assuré a été soumis en vue d’évaluer la faisabilité d’une réadaptation professionnelle, que les troubles d’attention et de concentration, les difficultés d’organisation et de planification, ainsi que sa mémoire aléatoire ne lui permettent pas de développer les apprentissages théoriques. Les absences sont fréquentes. Certaines sont dues à des vertiges, des nausées et des céphalées ou à une nuit blanche qui ne lui permet pas de se rendre au secteur Jeunes le lendemain. D'autres sont restées inexpliquées. Il est régulièrement en retard de 15 à 40 minutes le matin, ainsi qu'au retour de pause, de 5 à 15 minutes. Il ne reconnaît pas ses difficultés. Il s'est engagé à plusieurs reprises à améliorer son comportement, mais il est dans l'incapacité de trouver par lui-même les solutions pour y parvenir. Il lui est également arrivé d'être sur la défensive et/ou en opposition et d'adopter un ton agressif et provocateur. Compte tenu de ces difficultés dans la gestion du quotidien et dans les nouveaux apprentissages, il a été considéré qu'une orientation en vue d'une formation, mais en Centre, était prématurée, et qu'une mesure visant à ce qu'il retrouve progressivement un taux de présence suffisant et régulier était nécessaire au préalable. Il a ainsi été proposé de mettre l’assuré au bénéfice d’une mesure de type Réinsertion Endurance en application de l'art. 14 LAI dans le cadre du secteur Jeunes. Il s’est avéré cependant que les objectifs principaux visés par cette mesure d’entraînement à l’endurance, soit la présence et la ponctualité, n’avaient pas été atteints. Aucun progrès significatif n’avait été constaté. Il a au contraire été observé</w:t>
      </w:r>
    </w:p>
    <w:p>
      <w:r>
        <w:t>A/241/2021 - 11/19 - que « les priorités actuelles de l’assuré ne sont pas en lien avec un projet professionnel. Il en comprend d’ailleurs difficilement le sens ». Les EPI en ont finalement conclu le 19 décembre 2019, qu’une mesure de mise en place d’un projet professionnel était prématurée. c. Les constatations de l'expert et du médecin traitant, selon lesquelles une mesure de réadaptation professionnelle devrait être mise en place, mais que la réalisation de cette mesure se heurterait au manque de motivation de l'assuré, sont confirmées par celles des EPI. Force est de constater qu'en l'état une formation, quelle qu'elle soit, serait vraisemblablement vouée à l'échec. Or, selon la jurisprudence, aucune mesure réadaptée ne peut être allouée dans ce cas (cf. également ATAS/356/2017 a contrario). Aussi le droit à une telle mesure de réadaptation ne peut-il être reconnu à l'assuré en l'état. Il est vrai toutefois qu'une formation professionnelle, dans une économie libre et sans soutien, est difficilement réalisable pour l'assuré. Seule une formation encadrée et dispensée dans un milieu spécialisé devrait être envisagée. Aussi convient-il d’attirer l’attention de l’assuré sur le fait qu’il lui sera loisible de déposer une nouvelle demande de formation professionnelle lorsqu’il sera prêt à adhérer à un tel projet.</w:t>
      </w:r>
    </w:p>
    <w:p>
      <w:r>
        <w:rPr>
          <w:b/>
        </w:rPr>
        <w:t>E. 9</w:t>
      </w:r>
    </w:p>
    <w:p>
      <w:r>
        <w:t>Reste à examiner le droit de l’assuré à une rente d’invalidité.</w:t>
      </w:r>
    </w:p>
    <w:p>
      <w:r>
        <w:rPr>
          <w:b/>
        </w:rPr>
        <w:t>E. 10</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w:t>
      </w:r>
    </w:p>
    <w:p>
      <w:r>
        <w:t>A/241/2021 - 12/19 -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Lorsque les revenus avec et sans invalidité sont basés sur la même tabelle statistique, il n'est pas nécessaire de les chiffrer précisément, dans la mesure où le taux d'invalidité se confond avec le taux d'incapacité de travail.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(arrêt du Tribunal fédéral 9C_842/2018 du 7 mars 2019 consid. 5.1 et les références).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w:t>
      </w:r>
    </w:p>
    <w:p>
      <w:r>
        <w:t>A/241/2021 - 13/19 -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w:t>
      </w:r>
    </w:p>
    <w:p>
      <w:r>
        <w:t>A/241/2021 - 14/19 -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la CIM ou le DSM-5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w:t>
      </w:r>
    </w:p>
    <w:p>
      <w:r>
        <w:t>A/241/2021 - 15/19 -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11</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w:t>
      </w:r>
    </w:p>
    <w:p>
      <w:r>
        <w:t>A/241/2021 - 16/19 -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12</w:t>
      </w:r>
    </w:p>
    <w:p>
      <w:r>
        <w:t>Dans son rapport d’expertise du 8 octobre 2020, dont la valeur probante a déjà été admise, le Dr D______ n'a pas retenu les troubles de la concentration et de l'attention relevés par le Dr C______, et a considéré que les troubles d'hyperactivité et d'impulsivité étaient certes présents dans l'enfance de l'assuré, mais ne l'étaient plus à présent. Il a en revanche admis un trouble de la personnalité, sans décompensation, puisqu'il n'y avait eu ni traitement ni hospitalisation psychiatrique.</w:t>
      </w:r>
    </w:p>
    <w:p>
      <w:r>
        <w:t>A/241/2021 - 17/19 - Selon l'expert enfin, la dépendance au cannabis n'a pas eu pour effet des limitations psychiatriques qu'il est possible d'objectiver à un degré irréversible. Il a évalué la capacité de travail dans une activité adaptée, à 100%, sans baisse de rendement, depuis janvier 2018.</w:t>
      </w:r>
    </w:p>
    <w:p>
      <w:r>
        <w:rPr>
          <w:b/>
        </w:rPr>
        <w:t>E. 13</w:t>
      </w:r>
    </w:p>
    <w:p>
      <w:r>
        <w:t>Lorsqu'une appréciation repose sur une évaluation médicale complète, comme celle des médecins du SMR,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(cf. notamment ATF 9C_618/2014 consid. 6.2.3 du 9 janvier 2015). Le Dr C______, psychiatre traitant, a retenu, les 24 mars et 24 mai 2017, des troubles du comportement dès 2015 et un TDAH (« diagnostic posé semble-t-il dès l'âge de 4-5 ans »). Le 29 décembre 2017, il a précisé que le patient souffrait d'un manque de motivation et que le TDAH compliquait son adaptation sociale et ses possibilités de formation. Le 16 mars 2020 enfin, il a à nouveau souligné le manque de motivation de l'assuré pour une formation ou une activité professionnelle, une forte difficulté à se lever et à se rendre à l'heure aux formations ou aux activités, des attentes irréalistes sur le plan professionnel et une banalisation de ses difficultés. La mère de l'assuré fait valoir que Mme E______ avait observé le 30 mars 2005 l'existence d'une importante agitation psychomotrice, d'une irritabilité, d'une attitude oppositionnelle et de gestes hétéro-agressifs qui rendent la passation d'épreuves psychométriques très difficile, voire impossible. Elle avait également mentionné des signes croissants d'anxiété, sous la forme de gestes répétitifs, à caractère obsessionnel, ainsi que d'une auto-agressivité de plus en plus marquée. Force est de constater que le Dr D______ a expressément cité le rapport de Mme E______ parmi les documents médicaux figurant dans le dossier dont il a pris connaissance. Il a du reste proposé un suivi psychiatrique hebdomadaire abordant l'exigibilité d'un sevrage au cannabis, ses avantages assécurologiques primaires et son lien au monde professionnel, un traitement antidépresseur et un traitement pour le TDAH après le sevrage. Il a déjà été rappelé qu'un droit à la rente est exclu aussi longtemps que des mesures de réadaptation peuvent influer sur l’invalidité au point de la faire tomber au- dessous du niveau justifiant l’octroi d’une rente (art. 28, al. 1, let. a, LAI ; RCC 1984 p. 359, 1982 p. 471, 1981 p. 123, 1970 p. 162 et 395, 1969 p. 424).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w:t>
      </w:r>
    </w:p>
    <w:p>
      <w:r>
        <w:t>A/241/2021 - 18/19 - (ATF 113 V 22 consid. 4d p. 32 et les références citées; arrêts du Tribunal fédéral 9C_578/2009 consid. 4.2.3 et 9C_224/2011). Il y a lieu de constater en l'espèce, que les observations du médecin traitant et de Mme E______, ne suffisent pas à mettre en doute les conclusions du Dr D______. Ce dernier n'a retenu aucun diagnostic avec répercussion sur la capacité de travail. L'assuré présente certes des troubles dépressifs récurrents légers depuis janvier 2018, mais ceux-ci ne remplissent pas les indices de gravité jurisprudentiels, ainsi qu'un trouble de l'attention avec hyperactivité depuis l'enfance, qui ne l'a toutefois pas empêché de suivre la scolarité obligatoire. Aussi le recours ne peut-il être que rejeté.</w:t>
      </w:r>
    </w:p>
    <w:p>
      <w:r>
        <w:t>A/241/2021 - 19/19 -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