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ATAS/1104/2018 vom 31. Juli 2018</w:t>
      </w:r>
    </w:p>
    <w:p>
      <w:r>
        <w:t>GE Cour de justice, 2018-07-31, FR</w:t>
      </w:r>
    </w:p>
    <w:p>
      <w:r>
        <w:rPr>
          <w:b/>
        </w:rPr>
        <w:t xml:space="preserve">Quelle: </w:t>
      </w:r>
      <w:r>
        <w:t>https://mcp.opencaselaw.ch/entscheid/ge_gerichte_ATAS_1104_2018</w:t>
      </w:r>
    </w:p>
    <w:p>
      <w:r>
        <w:t>FR: GE_GERICHTE ATAS/1104/2018 du 31 juillet 2018</w:t>
      </w:r>
    </w:p>
    <w:p>
      <w:r>
        <w:t>IT: GE_GERICHTE ATAS/1104/2018 del 31 luglio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vertu de l’art. 70 al. 1 de la loi sur la procédure administrative du 12 septembre 1985 (LPA ; RSG E 5 10), l’autorité peut, d’office ou sur requête, joindre en une même procédure des affaires qui se rapportent à une situation juridique ou à une cause juridique commune. En l’occurrence, il convient de considérer que le recours contre le retrait de l’effet suspensif à l’opposition à la décision initiale du 31 juillet 2018 est intimement lié à la procédure de recours contre la décision sur opposition du 24 septembre 2018. En effet, il convient de déterminer si le retrait de l’effet suspensif à l'opposition contre la décision initiale perdure également dans la procédure de recours. Cela étant, la chambre de céans joint par la présente les deux procédures sous le numéro A/3773/2018.</w:t>
      </w:r>
    </w:p>
    <w:p>
      <w:r>
        <w:rPr>
          <w:b/>
        </w:rPr>
        <w:t>E. 3</w:t>
      </w:r>
    </w:p>
    <w:p>
      <w:r>
        <w:t>Est litigieuse en l'espèce la question de la restitution de l'effet suspensif. Formellement, la décision querellée concerne uniquement le retrait de l’effet suspensif à la procédure d’opposition contre la décision du 31 juillet 2018. Or, dans la mesure où celle-ci a été remplacée par la décision sur opposition du 24 septembre</w:t>
      </w:r>
    </w:p>
    <w:p>
      <w:r>
        <w:t>A/3773/2018 - 7/10 - 2018, laquelle ne précise pas que l'effet suspensif au recours est retiré, il pourrait être considéré que la requête de restitution de l'effet suspensif est sans objet. Se pose cependant la question de savoir si le retrait de l’effet suspensif à la procédure d’opposition vaut également pour les procédures subséquentes, en particulier dans l’hypothèse où la décision sur opposition confirme la décision initiale.</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aux prestations complémentaires en vertu de l'art. 27 LPC, la caisse de compensation peut, dans sa décision, prévoir qu'un recours éventuel n'aura pas d'effet suspensif, même si la décision porte sur une prestation pécuniaire; au surplus, l'art. 55 al. 2 à 4 PA est applicable. b. Par arrêt publié aux ATF 129 V 370, le Tribunal fédéral a confirmé l’ancienne jurisprudence (ATF 106 V 18), selon laquelle l’effet suspensif retiré à un recours dirigé contre une décision de révision supprimant ou diminuant une rente ou une allocation pour impotent perdure, en cas de renvoi de la cause à l’administration, également pendant cette procédure d’instruction jusqu’à la notification de la nouvelle décision. Il est vrai que la situation transitoire liée au retrait de l’effet suspensif devient caduque avec la décision clôturant l’instance. Toutefois, notre Haute Cour s’est écartée sciemment de ce principe. La raison en est qu’une application dogmatique du droit conduirait dans le cadre d’une procédure de révision de prestations d’assurances sociales à un résultat insatisfaisant, dès lors qu’il n'est pas tenu compte de ce que la procédure n’est pas encore terminée, lorsque la cause est renvoyée à l’administration pour instruction complémentaire et nouvelle décision. c. Il résulte de cette jurisprudence que le retrait de l’effet suspensif à une décision vaut également pour la procédure subséquente, lorsque la décision est confirmée ou que l'instruction est reprise sur renvoi, tant que l’effet suspensif n’a pas été restitué. Partant, il n’est pas nécessaire que l’administration ou le juge retire à nouveau à la nouvelle décision ou au jugement l’effet suspensif à la voie de droit subséquente.</w:t>
      </w:r>
    </w:p>
    <w:p>
      <w:r>
        <w:t>A/3773/2018 - 8/10 - Partant, en l’occurrence, ce n’est pas seulement le retrait de l’effet suspensif à la procédure d’opposition qui est en jeu, mais également le retrait de l'effet suspensif au recours contre la décision du 24 septembre 2018. Le recours contre la décision de refus de restitution de l'effet suspensif n'est par conséquent pas devenu sans objet.</w:t>
      </w:r>
    </w:p>
    <w:p>
      <w:r>
        <w:rPr>
          <w:b/>
        </w:rPr>
        <w:t>E. 5</w:t>
      </w:r>
    </w:p>
    <w:p>
      <w:r>
        <w:t>a. D'après la jurisprudence relative à l'art. 55 al. 1 PA, à laquelle l'entrée en vigueur de la LPGA et de l'OPGA n'a rien changé (arrêt du Tribunal fédéral des assurances I 46/04 du 24 février 2004),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S'agissant des prévisions sur l'issue du litige, le Tribunal fédéral a jugé, dans un cas I 439/06 du 19 septembre 2006, qu’elles ne présentent pas pour l'assurée, un degré de certitude suffisant pour qu'elles soient prises en considération ; les avis divergeaient aussi bien sur la situation médicale concrète de l'assurée que sur l'appréciation de sa capacité résiduelle de travail, rendant l'issue du litige tout à fait incertaine ;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 le retrait de l'effet suspensif par l'autorité était par conséquent justifié.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w:t>
      </w:r>
    </w:p>
    <w:p>
      <w:r>
        <w:t>A/3773/2018 - 9/10 -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6</w:t>
      </w:r>
    </w:p>
    <w:p>
      <w:r>
        <w:t>En l’espèce, les prévisions sur l’issue du litige ne présentent assurément pas un degré de certitude suffisant pour être prises en considération. En effet, l’enquête par la cellule de l’OCPM a démontré que l’appartement loué par la recourante dans le canton de Genève est sous-loué. Or, en vertu de la jurisprudence précitée, l’intérêt d’une personne de continuer à bénéficier de prestations d’assurance n’est pas d’une importance décisive, s’il ne peut être admis qu’elle l’emportera dans la cause principale selon toute vraisemblance. L’intérêt de l’administration de ne pas verser de prestations l’emporte dans une telle situation sur l’intérêt d’un assuré se trouvant dans une situation matérielle difficile, dès lors qu’il est à craindre que l’éventuelle procédure en restitution soit vouée à l’échec. Cela étant, la requête en restitution de l’effet suspensif sera rejetée. ***</w:t>
      </w:r>
    </w:p>
    <w:p>
      <w:r>
        <w:t>A/3773/2018 - 10/10 - PAR CES MOTIFS, LA CHAMBRE DES ASSURANCES SOCIALES : Statuant selon l’art. 21 al. 2 LPA-GE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