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ATAS/1103/2020 vom 11. November 2020</w:t>
      </w:r>
    </w:p>
    <w:p>
      <w:r>
        <w:t>GE Cour de justice, 2020-11-11, FR</w:t>
      </w:r>
    </w:p>
    <w:p>
      <w:r>
        <w:rPr>
          <w:b/>
        </w:rPr>
        <w:t xml:space="preserve">Quelle: </w:t>
      </w:r>
      <w:r>
        <w:t>https://mcp.opencaselaw.ch/entscheid/ge_gerichte_ATAS_1103_2020</w:t>
      </w:r>
    </w:p>
    <w:p>
      <w:r>
        <w:t>FR: GE_GERICHTE ATAS/1103/2020 du 11 novembre 2020</w:t>
      </w:r>
    </w:p>
    <w:p>
      <w:r>
        <w:t>IT: GE_GERICHTE ATAS/1103/2020 del 11 novembre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compte tenu de la suspension des délais entre le 15 juillet et le 15 août inclusivement (art. 38 al. 4 let. b LPGA et art. 89C let. b LPA), le recours est recevable (art. 56 ss LPGA et 62 ss LPA).</w:t>
      </w:r>
    </w:p>
    <w:p>
      <w:r>
        <w:rPr>
          <w:b/>
        </w:rPr>
        <w:t>E. 3</w:t>
      </w:r>
    </w:p>
    <w:p>
      <w:r>
        <w:t>L’objet du litige dans la procédure juridictionnelle administrative subséquente est le rapport juridique qui - dans le cadre de l’objet de la contestation déterminé par la décision - constitue, d’après les conclusions du recours, l’objet de la décision effectivement attaqué (ATF 131 V 164 consid. 2.1 ; ATF 125 V 413 consid. 1b et 2 et les références citées). En l’espèce, le litige porte sur le bien-fondé du refus d’entrer en matière sur la demande de prestation du recourant.</w:t>
      </w:r>
    </w:p>
    <w:p>
      <w:r>
        <w:rPr>
          <w:b/>
        </w:rPr>
        <w:t>E. 4</w:t>
      </w:r>
    </w:p>
    <w:p>
      <w:r>
        <w:t>a. Selon l'art. 53 al. 1 LPGA, les décisions formellement passées en force sont soumises à révision si l'assuré ou l'assureur découvre subséquemment des faits nouveaux importants ou trouve des nouveaux moyens de preuve qui ne pouvaient être produits auparavant. b. Aux termes de l'art. 53 al. 2 LPGA, l'assureur peut revenir sur les décisions formellement passées en force lorsqu'elles sont manifestement erronées et que leur rectification revêt une importance notable. Selon la jurisprudence,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 faire l'objet d'un contrôle en justice (ATF 133 V 50 consid. 4.1 p. 52; 119 V 475 consid. 1b/cc p. 479; 117 V 8 consid. 2a p. 12 s.; arrêt 9C_447/2007 du 10 juillet 2008 consid. 1; UELI KIESER, ATSG-Kommentar, 2° éd., no 44 ad art. 53). Une administration refuse d'entrer en matière sur une demande de reconsidération lorsqu'elle se borne à procéder à un examen sommaire de la requête et répète les motifs invoqués dans la décision initiale (ATF 117 V 8 consid. 2b/aa p.14; arrêt du Tribunal fédéral 8C_866/2009 consid. 2.2 du 27 avril 2010). c. Selon l’art. 17 al. 1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w:t>
      </w:r>
    </w:p>
    <w:p>
      <w:r>
        <w:t>A/1217/2020 - 18/21 -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5</w:t>
      </w:r>
    </w:p>
    <w:p>
      <w:r>
        <w:t>Selon l’art. 56 al. 1 LPGA, les décisions sur opposition et celles contre lesquelles la voie de l’opposition n’est pas ouverte sont sujettes à recours. Le recours doit être déposé dans les trente jours suivant la notification de la décision sujette à recours (art. 60 al. 1 LPGA) Selon l’art. 89B al. 1 de la loi sur la procédure administrative du 12 septembre 1985 (LPA - E 5 10), le recours, signé et déposé en deux exemplaires par-devant la Chambre des assurances sociales de la Cour de justice, doit comporter des motifs et des conclusions. Si le mémoire n'est pas conforme à ces règles, un délai convenable est imparti à son auteur pour le compléter, étant précisé qu'en cas d'inobservation, le recours sera écarté (art. 89B al. 3 LPA). Selon un principe général du droit reconnu par la doctrine, consacré à maintes reprises par la jurisprudence, une autorité administrative est tenue de transmettre au tribunal compétent un recours qui lui est transmis par erreur (arrêt du Tribunal fédéral 9C_794/2014 du 13 mars 2015 consid. 3.1 et les références citées).</w:t>
      </w:r>
    </w:p>
    <w:p>
      <w:r>
        <w:rPr>
          <w:b/>
        </w:rPr>
        <w:t>E. 6</w:t>
      </w:r>
    </w:p>
    <w:p>
      <w:r>
        <w:t>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l'autorité soit intervenue</w:t>
      </w:r>
    </w:p>
    <w:p>
      <w:r>
        <w:t>A/1217/2020 - 19/21 -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 ATF 129 I 161 consid. 4.1; ATF 126 II 377 consid. 3a et les références citées).</w:t>
      </w:r>
    </w:p>
    <w:p>
      <w:r>
        <w:rPr>
          <w:b/>
        </w:rPr>
        <w:t>E. 7</w:t>
      </w:r>
    </w:p>
    <w:p>
      <w:r>
        <w:t>En l’espèce, le recourant a adressé le 4 septembre 2019 à l’intimé un courriel lui demandant « la reconsidération » de son droit à une rente d’invalidité, car il était totalement incapable de travailler dans une activité adaptée à son état de santé. Vu le contenu de ce courriel, le fait qu’il est parvenu à l’intimé dans le délai de recours de sa décision du 15 août 2019 et qu’il émanait d’un assuré agissant en personne, l’intimé devait se demander s’il constituait un recours. Il ne pouvait s’en tenir au terme de « reconsidération » utilisé par l’assuré, car agissant en personne, celui-ci pouvait ne pas être au clair sur la définition de ce terme. L’intimé aurait ainsi dû transmettre le courriel pour raison de compétence à la chambre de céans, qui était seule compétente pour juger de sa recevabilité. Il aurait également dû adresser sans délai au recourant un message attirant son attention sur le fait que si son intention était de recourir, il devait le faire dans le délai de trente jours dès la notification de la décision en cause par courrier signé auprès de la chambre de céans. En se contentant de l’informer le 11 septembre 2019 que s’il voulait un nouvel examen de fond de son droit aux prestations, il devait lui faire parvenir une demande de révision, l’intimé ne l’a pas renseigné de façon complète et l’a conforté dans l’idée que son cas pouvait être revu. Le recourant, en se fiant aux renseignements incomplets de l’intimé, a perdu une opportunité de contester la dernière décision de celui-ci. Du fait qu’il n’est pas juriste et que son atteinte à la santé lui rend difficile toute démarche administrative, il y a lieu de retenir que le recourant ne pouvait se rendre compte immédiatement de l'inexactitude du renseignement obtenu. S’il avait été correctement informé, il aurait encore pu recourir dans les forme et délai légaux et il a ainsi subi un préjudice. En application du principe de la bonne foi, il doit en conséquence être considéré que la décision du 15 août 2019 n’est pas entrée en force. Dès lors, la décision querellée de non-entrée en matière est infondée, puisqu’elle supposait une décision préalable entrée en force. La décision de l’intimé du 12 mars 2020 doit de ce fait être annulée.</w:t>
      </w:r>
    </w:p>
    <w:p>
      <w:r>
        <w:rPr>
          <w:b/>
        </w:rPr>
        <w:t>E. 8</w:t>
      </w:r>
    </w:p>
    <w:p>
      <w:r>
        <w:t>Le recourant sera invité à déposer dans le délai de dix jours dès la notification du présent arrêt un recours en bonne et due forme auprès de la chambre de céans contre la décision du 15 août 2019, si telle était son intention, sous peine d’irrecevabilité.</w:t>
      </w:r>
    </w:p>
    <w:p>
      <w:r>
        <w:t>A/1217/2020 - 20/21 -</w:t>
      </w:r>
    </w:p>
    <w:p>
      <w:r>
        <w:rPr>
          <w:b/>
        </w:rPr>
        <w:t>E. 9</w:t>
      </w:r>
    </w:p>
    <w:p>
      <w:r>
        <w:t>Le recourant obtenant partiellement gain de cause et étant assisté d’un conseil, il a droit à des dépens qui seront fixés à CHF 1'000.- et mis à la charge de l’intimé (art. 61 let. g LPGA).</w:t>
      </w:r>
    </w:p>
    <w:p>
      <w:r>
        <w:rPr>
          <w:b/>
        </w:rPr>
        <w:t>E. 10</w:t>
      </w:r>
    </w:p>
    <w:p>
      <w:r>
        <w:t>Un émolument de CHF 200.- sera mis à la charge de l’intimé.</w:t>
      </w:r>
    </w:p>
    <w:p>
      <w:r>
        <w:t>A/1217/2020 - 21/21 -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