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ATAS/1103/2013 vom 12. November 2013</w:t>
      </w:r>
    </w:p>
    <w:p>
      <w:r>
        <w:t>GE Cour de justice, 2013-11-12, FR</w:t>
      </w:r>
    </w:p>
    <w:p>
      <w:r>
        <w:rPr>
          <w:b/>
        </w:rPr>
        <w:t xml:space="preserve">Quelle: </w:t>
      </w:r>
      <w:r>
        <w:t>https://mcp.opencaselaw.ch/entscheid/ge_gerichte_ATAS_1103_2013</w:t>
      </w:r>
    </w:p>
    <w:p>
      <w:r>
        <w:t>FR: GE_GERICHTE ATAS/1103/2013 du 12 novembre 2013</w:t>
      </w:r>
    </w:p>
    <w:p>
      <w:r>
        <w:t>IT: GE_GERICHTE ATAS/1103/2013 del 12 novembre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2002, et, après le 1er janvier 2003,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w:t>
      </w:r>
    </w:p>
    <w:p>
      <w:r>
        <w:t>A/2114/2013 - 9/16 - modification de la loi fédérale sur l'assurance-invalidité du 22 juin 2005, FF 2005 p. 4322).</w:t>
      </w:r>
    </w:p>
    <w:p>
      <w:r>
        <w:rPr>
          <w:b/>
        </w:rPr>
        <w:t>E. 3</w:t>
      </w:r>
    </w:p>
    <w:p>
      <w:r>
        <w:t>Quoique succinct, l’acte du recourant permet de comprendre quelle est la décision attaquée, expose tout de même les faits et les motifs de son désaccord. L’on comprend par ailleurs qu’il demande l’annulation de la décision litigieuse. Il respecte ainsi les formes prescrites (art. 60 et 61 let. b LPGA). Bien qu’il ait été adressé à une autorité incompétente, le recours a été formé en temps utile (art. 38 al.</w:t>
      </w:r>
    </w:p>
    <w:p>
      <w:r>
        <w:rPr>
          <w:b/>
        </w:rPr>
        <w:t>E. 4</w:t>
      </w:r>
    </w:p>
    <w:p>
      <w:r>
        <w:t>Le litige porte sur le droit de l’intimé de supprimer toute rente dès le 1er juillet 2013, singulièrement sur le salaire d'invalide de l'assuré.</w:t>
      </w:r>
    </w:p>
    <w:p>
      <w:r>
        <w:rPr>
          <w:b/>
        </w:rPr>
        <w:t>E. 5</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A/2114/2013 - 10/16 - degré d’invalidité lors d’une nouvelle révision de la rente (ATF 133 V 108 consid. 5.4, ATF 130 V 343 consid. 3.5.2).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6</w:t>
      </w:r>
    </w:p>
    <w:p>
      <w:r>
        <w:t>a) Au sujet de l'évaluation de l'invalidité on rappellera que,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w:t>
      </w:r>
    </w:p>
    <w:p>
      <w:r>
        <w:t>A/2114/2013 - 11/16 - doit être déterminée d'après l'incapacité de gain (ATF 128 V 30 consid. 1, 104 V 136 consid. 2; VSI 1998 p. 122 consid. 1a et p. 257 consid. 2b). c) Selon l’art. 25 al. 2 du règlement sur l’assurance-invalidité du 17 janvier 1961 (RS 831.201 ; RAI), les revenus déterminants pour l’évaluation de l’invalidité d’un indépendant qui exploite une entreprise en commun avec des membres de sa famille seront fixés d’après l’importance de sa collaboration. Pour mesurer celle-ci, il y a lieu de se fonder sur le revenu que l’assuré serait à même de réaliser seul. En effet, si les revenus de l’entreprise reposent également sur la collaboration de tierces personnes, il y a lieu de retrancher la part desdits revenus qui peut leur être attribuée, qu’elles soient salariées ou non (ATFA non publié I 331/87 du 28 avril 1988, cité in MEYER, Bundesgesetz über die Invalidenversicherung, 2ème éd. 2010, p. 328). Si le retranchement d’un tel facteur – étranger à l’invalidité – n’est pas possible, il convient de déterminer l’invalidité par la méthode extraordinaire (ATF 104 V 135 consid. 2c). Le recours à cette méthode s’impose également en présence d’autres facteurs également à même d’influencer les résultats de l’exploitation, tels la situation conjoncturelle et la concurrence. En pareil cas en effet, la comparaison des documents comptables, antérieurs et postérieurs à l’atteinte à la santé de l’assuré, ne permet pas, en règle générale, de distinguer la part du revenu qui dépend de facteurs étrangers à l’invalidité et celle qui de dépend de la seule prestation de travail de l'assuré (VSI 5/1998 pp. 124 et 259). Dans le cas d’une entreprise de menuiserie exploitée par deux frères et leur père souffrant de polyarthrite, le Tribunal fédéral a considéré que même si la méthode extraordinaire s’imposait dans le cas d’espèce, il ne suffisait pas de l’appliquer purement et simplement pour déterminer de manière fiable quelle part du résultat d’exploitation était attribuable à l’assuré (le père). La Haute Cour a précisé qu’il y avait lieu de s’assurer avant tout de la réalisation de deux conditions : premièrement, il est nécessaire de déterminer d’un point de vue médical quelle est la capacité de travail exigible de l’assuré dans chaque champ d’activité de l’entreprise. Deuxièmement, il convient de mesurer, d’un point de vue économique, l’impact des activités exigibles (en termes de revenu) sur le résultat global de l’exploitation (ATF 104 V 135 consid. 3). Demeure réservé le cas où l’appréciation médicale conclut déjà à l’existence d’une incapacité de travail quasi-complète dans toutes les activités existant au sein de l’entreprise et donc à un degré d’invalidité suffisant pour une rente entière. Dans cette hypothèse en effet, la deuxième condition est sans objet (ATF 104 V 135 consid. 3b).</w:t>
      </w:r>
    </w:p>
    <w:p>
      <w:r>
        <w:rPr>
          <w:b/>
        </w:rPr>
        <w:t>E. 7</w:t>
      </w:r>
    </w:p>
    <w:p>
      <w:r>
        <w:t>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w:t>
      </w:r>
    </w:p>
    <w:p>
      <w:r>
        <w:t>A/2114/2013 - 12/16 -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du cas concret (ATF 113 V 22 consid. 4a p. 28 et les références).</w:t>
      </w:r>
    </w:p>
    <w:p>
      <w:r>
        <w:t>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A/2114/2013 - 13/16 - description des interférences médicales soit claire et enfin que les conclusions de l'expert soient bien motivées (ATF 125 V 351 consid. 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implique que les instances cantonales ne sauraient déléguer cette compétence à l’administration sans motif valable (même arrêt, consid. 4.4.1.1).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w:t>
      </w:r>
    </w:p>
    <w:p>
      <w:r>
        <w:t>A/2114/2013 - 14/16 - s’agit d’un éclaircissement ou d’une précision ou d’un complément d’une expertise (ATF 137 V 210 consid. 4.4.1.4 in fine et les références).</w:t>
      </w:r>
    </w:p>
    <w:p>
      <w:r>
        <w:rPr>
          <w:b/>
        </w:rPr>
        <w:t>E. 10</w:t>
      </w:r>
    </w:p>
    <w:p>
      <w:r>
        <w:t>En l'espèce, il convient de comparer la situation au moment de la décision du 9 février 2007 avec celle prévalant au moment de la décision du 22 mai 2013 afin d'apprécier le bien-fondé d'une éventuelle révision opérée en application de l'art. 17 LPGA. La décision antérieure du 9 février 2007 se fondait sur le rapport d’expertise rendu par le Dr A__________ le 6 septembre 2004. Ce dernier avait considéré que l’assuré présentait une capacité de travail de 50% dans un travail léger au « vu de son état de santé actuel ».</w:t>
      </w:r>
    </w:p>
    <w:p>
      <w:r>
        <w:t>Suite à la révision initiée par l’OAI en 2011, le Dr B__________ a estimé que l’activité exercée jusqu’ici, soit les activités liées à la gestion indépendante d’un établissement de restauration, dont le travail de cuisinier indépendant, restait exigible à plein temps avec une diminution de rendement de l’ordre de 30 à 40%, étant précisé qu’il existait une stabilité de l’incapacité par diminution de rendement depuis la reprise d’une activité dans la restauration en 2001.</w:t>
      </w:r>
    </w:p>
    <w:p>
      <w:r>
        <w:t>Bien que le Dr B__________ mentionne l’expertise du Dr A__________ dans l’anamnèse, il ne fait état nulle part des raisons pour lesquelles son appréciation de la capacité de travail du recourant diffère de celle de son confrère. De plus, il ne motive d’aucune manière sa propre appréciation. Il sied de relever en particulier qu’il ne fait aucune mention de la cessation de l’exploitation du restaurant en 2003 suite à la séparation du recourant d’avec son épouse, étant rappelé que celle-ci l’épaulait dans ses tâches et qu’après son départ, celui-ci n’avait plus été en mesure d’assumer ses activités. De même, quand il apprécie la situation du recourant lors de la reprise de son activité de restaurateur indépendant en 2008, le Dr B__________ se borne, somme toute, à constater que celui-ci travaille à plein temps. Comme le relève la Dresse C__________, médecin SMR, c’est le fait même d’avoir débuté une nouvelle activité en avril 2008 « qui a indiqué que l’assuré pouvait maintenir une activité professionnelle ». Or, comme souligné dans l’arrêt 104 V 135 précité, le rôle du médecin est de déterminer d’un point de vue médical quelle est la capacité de travail exigible dans chaque champ d’activité de l’entreprise. Cela implique non seulement que cette capacité ne soit pas appréciée de manière globale - comme le Dr B__________ l’a fait dans le cas d’espèce – mais également, qu’il soit fait abstraction de l’aide fournie par la compagne dans le cadre des tâches exécutées en commun (vaisselle, préparation et rangement de la salle). Or, à la lumière des circonstances de l’interruption de l’exploitation du restaurant en 2003 et au vu de l’appréciation divergente du Dr A__________, il existe un doute important sur la capacité réelle du recourant à travailler à plein temps s’il ne bénéficiait de l’assistance permanente de sa compagne. Dans ces conditions, l’appréciation selon laquelle il existe une stabilité de l’incapacité par diminution de rendement depuis 2001 ne convainc pas, de sorte que l’expertise du Dr B__________ ne saurait se voir reconnaître valeur probante.</w:t>
      </w:r>
    </w:p>
    <w:p>
      <w:r>
        <w:t>A/2114/2013 - 15/16 -</w:t>
      </w:r>
    </w:p>
    <w:p>
      <w:r>
        <w:t>Bien qu’une expertise judiciaire paraisse envisageable au vu des faiblesses de l’instruction sur le plan médical, une telle mesure ne permettrait pas à la Cour de céans de se prononcer pour autant. En effet, une fois déterminée la capacité de travail exigible dans les divers champs d’activité de l’entreprise, il y aurait lieu, dans un second temps, de mesurer, d’un point de vue économique, l’impact des activités exigibles (en termes de revenu) sur le résultat global de l’exploitation (cf. supra consid. 6c). Or, le dossier se révèle également lacunaire à cet égard. Il ne permet pas de déterminer de manière fiable si une modification sensible de l’état de santé est intervenue depuis la situation qui prévalait au moment de la décision du 9 février 2007. Dans la négative, il ne permet pas non plus d’affirmer qu’en dépit d’un état de santé stationnaire, les conséquences de celui-ci sur la capacité de gain ont subi un changement important.</w:t>
      </w:r>
    </w:p>
    <w:p>
      <w:r>
        <w:rPr>
          <w:b/>
        </w:rPr>
        <w:t>E. 11</w:t>
      </w:r>
    </w:p>
    <w:p>
      <w:r>
        <w:t>Au regard de ce qui précède, la décision du 22 mai 2013 sera annulée et le dossier renvoyé à l’intimé pour instruction complémentaire et nouvelle décision au sens des considérants. Lors de la nouvelle appréciation du cas, il conviendra notamment de veiller à ce que des facteurs étrangers à l’invalidité, en particulier les 44 heures de travail hebdomadaire fournies par la compagne du recourant et l’apport de tierces personnes, soient dissociés du résultat de l’exploitation, de manière à déterminer les revenus que le recourant réalise effectivement seul. En effet, peu importe que le résultat d’exploitation soit d’un montant de 54'700 fr. – comme retenu en l’espèce – ou d’un montant supérieur ou inférieur, il importe, dans un premier temps, de déterminer les proportions de ce résultat qui sont dues au travail du recourant, respectivement de sa compagne ou de tiers. Cela fait, il convient de déterminer, d’un point de vue médical, dans quelle mesure les champs d’activités assumés seul par l’assuré d’une part, en commun d’autre part, sont exigibles du seul assuré, puis, d’un point de vue économique, de quantifier l’exigibilité par champ d’activité par rapport au résultat d’exploitation. En amont de cette appréciation économique, il conviendra également de se demander sur le plan médical dans quelle mesure la capacité de travail résiduelle de l’assuré serait mieux exploitée dans une activité adaptée, cas échéant salariée.</w:t>
      </w:r>
    </w:p>
    <w:p>
      <w:r>
        <w:t>A/2114/2013 - 16/16 -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