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ATAS/1102/2014 vom 21. Oktober 2014</w:t>
      </w:r>
    </w:p>
    <w:p>
      <w:r>
        <w:t>GE Cour de justice, 2014-10-21, FR</w:t>
      </w:r>
    </w:p>
    <w:p>
      <w:r>
        <w:rPr>
          <w:b/>
        </w:rPr>
        <w:t xml:space="preserve">Quelle: </w:t>
      </w:r>
      <w:r>
        <w:t>https://mcp.opencaselaw.ch/entscheid/ge_gerichte_ATAS_1102_2014</w:t>
      </w:r>
    </w:p>
    <w:p>
      <w:r>
        <w:t>FR: GE_GERICHTE ATAS/1102/2014 du 21 octobre 2014</w:t>
      </w:r>
    </w:p>
    <w:p>
      <w:r>
        <w:t>IT: GE_GERICHTE ATAS/1102/2014 del 21 ottobre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A/2078/2014 ATAS/1102/2014 COUR DE JUSTICE Chambre des assurances sociales Arrêt du 21 octobre 2014 1ère Chambre</w:t>
      </w:r>
    </w:p>
    <w:p>
      <w:r>
        <w:t>En la cause Monsieur A______, domicilié à GENÈVE, comparant avec élection de domicile en l'étude de Maître BRAUNSCHMIDT SCHEIDEGGER Sarah recourant</w:t>
      </w:r>
    </w:p>
    <w:p>
      <w:r>
        <w:t>contre OFFICE DE L'ASSURANCE-INVALIDITÉ DU CANTON DE GENÈVE, sis rue des Gares 12, GENÈVE intimé</w:t>
      </w:r>
    </w:p>
    <w:p>
      <w:r>
        <w:t>A/2078/2014 - 2/4 - Attendu en fait que par décision du 27 juin 2014, l’Office cantonal de l’assurance- invalidité du canton de Genève (ci-après OAI) a informé Monsieur A______, né le ______1967, que la rente d’invalidité qui lui était jusque-là versée, était remplacée par un quart de rente à compter du premier jour du deuxième mois suivant la notification, au motif qu’il avait recouvré une capacité de travail de 75% dans une activité adaptée depuis le mois de mars 2008 ; Que l’assuré, représenté par Me Sarah BRAUNSCHMIDT, a interjeté recours le 11 juillet 2014 contre ladite décision ; qu’il sollicite la mise sur pied d’une expertise pluridisciplinaire (psychiatrique, rhumatologique, ORL et neurologique) ; Qu’il a complété son recours le 26 août 2014 ; Qu’invité à se déterminer, le médecin du Service médical régional AI (SMR) a considéré, dans une note du 8 septembre 2014, qu’une instruction complémentaire auprès des médecins traitants, les Docteurs B______ et C______, s’avérait pertinente, et qu’à l’issue de cette instruction, la nécessité d’une expertise multidisciplinaire pourrait être discutée ; Que dans sa réponse du 22 septembre 2014, l’OAI, se fondant sur l’avis du SMR, a proposé l’admission partielle du recours, et le renvoi du dossier pour instruction complémentaire ; Que par courrier du 10 octobre 2014, l’assuré a déclaré qu’il obtenait ainsi satisfaction, ce pour autant qu’une indemnité à titre de dépens lui soit également octroyée ; qu’il reproche à cet égard à l’OAI d’avoir confié à un généraliste l’instruction de son dossier et de n’avoir pas investigué d’emblée sur son état de santé psychique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22 septembre 2014, l'OAI a conclu à l’admission partielle du recours et au renvoi du dossier pour instruction complémentaire ; Qu'il se justifie dès lors de renvoyer la cause à l'OAI, et, partant, d'admettre le recours et d'annuler la décision litigieuse ;</w:t>
      </w:r>
    </w:p>
    <w:p>
      <w:r>
        <w:t>A/2078/2014 - 3/4 -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tel est le cas en l’espèce, dès lors que l'assuré a obtenu satisfaction ; Qu'en l'espèce, les dépens seront fixés à CHF 1’000.- ;</w:t>
      </w:r>
    </w:p>
    <w:p>
      <w:r>
        <w:t>A/2078/2014 - 4/4 - PAR CES MOTIFS, LA CHAMBRE DES ASSURANCES SOCIALES : Statuant A la forme : 1. Déclare le recours recevable. Au fond : 2. L'admet et annule la décision du 27 juin 2014. 3. Renvoie la cause à l'OAI au sens des considérants. 4. Condamne l’intimé à verser au recourant la somme de CHF 1’000.-,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