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ATAS/1102/2013 vom 12. November 2013</w:t>
      </w:r>
    </w:p>
    <w:p>
      <w:r>
        <w:t>GE Cour de justice, 2013-11-12, FR</w:t>
      </w:r>
    </w:p>
    <w:p>
      <w:r>
        <w:rPr>
          <w:b/>
        </w:rPr>
        <w:t xml:space="preserve">Quelle: </w:t>
      </w:r>
      <w:r>
        <w:t>https://mcp.opencaselaw.ch/entscheid/ge_gerichte_ATAS_1102_2013</w:t>
      </w:r>
    </w:p>
    <w:p>
      <w:r>
        <w:t>FR: GE_GERICHTE ATAS/1102/2013 du 12 novembre 2013</w:t>
      </w:r>
    </w:p>
    <w:p>
      <w:r>
        <w:t>IT: GE_GERICHTE ATAS/1102/2013 del 12 novembre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L'intéressé souhaiterait ne plus être affilié auprès de SANITAS, au motif qu'il n'a plus confiance en cette caisse-maladie. Il a ainsi demandé au SAM de pouvoir "repartir à zéro".</w:t>
      </w:r>
    </w:p>
    <w:p>
      <w:r>
        <w:rPr>
          <w:b/>
        </w:rPr>
        <w:t>E. 3</w:t>
      </w:r>
    </w:p>
    <w:p>
      <w:r>
        <w:t>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et 2 LPGA, les décisions peuvent être attaquées dans les trente jours par voie d’opposition auprès de l’assureur qui les a rendues, à l’exception des décisions d’ordonnancement de la procédure (al. 1). Les décisions sur opposition</w:t>
      </w:r>
    </w:p>
    <w:p>
      <w:r>
        <w:t>A/1953/2013 - 8/14 -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w:t>
      </w:r>
    </w:p>
    <w:p>
      <w:r>
        <w:rPr>
          <w:b/>
        </w:rPr>
        <w:t>E. 4</w:t>
      </w:r>
    </w:p>
    <w:p>
      <w:r>
        <w:t>En l'espèce, le SAM n'a rendu ni décision formelle ni décision sur opposition au sens des art. 49 et 52 LPGA, de sorte que la Cour de céans ne peut rendre aucun jugement au fond. Elle est en revanche saisie d’un recours pour déni de justice dirigé contre le SAM.</w:t>
      </w:r>
    </w:p>
    <w:p>
      <w:r>
        <w:rPr>
          <w:b/>
        </w:rPr>
        <w:t>E. 5</w:t>
      </w:r>
    </w:p>
    <w:p>
      <w:r>
        <w:t>L’art. 56 al. 2 LPGA vise le refus de statuer et le retard à statuer d’un assureur ou d’une autorité administrative. Il y a retard injustifié de la part de l’autorité lorsqu’elle diffère sa décision au-delà de tout délai raisonnable. Le caractère raisonnable d’une procédure s’apprécie en fonction des circonstances particulières de la cause, lesquelles commandent généralement une évaluation globale. Il faut notamment prendre en considération l’ampleur et la difficulté de celle-ci, ainsi que le comportement du justiciable, mais non des circonstances sans rapport avec le litige, telle une surcharge de travail de l’autorité (ATF 125 V 188 consid. 2a). À cet égard, la jurisprudence rendue avant l’entrée en vigueur de la loi demeure applicable, la LPGA n’ayant apporté aucune modification à la notion du déni de justice (cf. KIESER, ATSG-Kommentar, Zürich 2003, n. 10, 13 et 14 ad art. 56). Entre autres critères sont notamment déterminants le degré de complexité de l’affaire, l’enjeu que revêt le litige pour l’intéressé ainsi que le comportement de celui-ci et le comportement de l’autorité compétente (ATF 124 I 139 consid. 2c, 119 Ib 311 consid. 5b et les références). En particulier, il appartient au justiciable d’entreprendre ce qui est en son pouvoir pour que l’autorité fasse diligence, que ce</w:t>
      </w:r>
    </w:p>
    <w:p>
      <w:r>
        <w:t>A/1953/2013 - 9/14 - soit en l’invitant à accélérer la procédure ou en recourant, le cas échéant, pour retard injustifié (ATF 107 Ib 155 consid. 2b et c). Cette obligation s’apprécie toutefois avec moins de rigueur en procédure administrative (AUER/MALINVERNI/HOTTELIER, Droit constitutionnel suisse, vol. II, n. 1243). On ne saurait par ailleurs reprocher à une autorité quelques temps morts, qui sont inévitables dans une procédure (cf. ATF 124 et 119 précités), mais une organisation déficiente ou une surcharge structurelle ne sauraient en justifier la lenteur excessive (ATF 122 IV 103 consid. I/4,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Dans le cadre d’une appréciation d’ensemble, il faut également tenir compte du fait qu’en matière d’assurances sociales le législateur accorde une importance particulière à une liquidation rapide des procès (ATF 126 V 249 consid. 4a). Cela étant, l’autorité saisie d’un recours pour retard injustifié ne saurait se substituer à l’autorité précédente pour statuer au fond. Elle ne peut qu’inviter l’autorité concernée à statuer à bref délai (ATFA du 27 mars 2006, cause U 23/05, consid. 6).</w:t>
      </w:r>
    </w:p>
    <w:p>
      <w:r>
        <w:rPr>
          <w:b/>
        </w:rPr>
        <w:t>E. 6</w:t>
      </w:r>
    </w:p>
    <w:p>
      <w:r>
        <w:t>Il y a à ce stade lieu, afin de déterminer si le SAM a ou non commis un déni de justice à cet égard, de rappeler la mission de celui-ci. Selon l'art. 3 al. 1 LAMal, toute personne domiciliée en Suisse doit s'assurer pour les soins en cas de maladie, dans les trois mois qui suivent sa prise de domicile en Suisse. L'assurance déploie ses effets dès la naissance ou la prise de domicile en Suisse; elle déploie ses effets dès l'affiliation en cas d'affiliation tardive. La couverture d'assurance prend fin lorsque l'assuré cesse d'être soumis à l'obligation de s'assurer (art. 5 LAMal). L'art. 3 al. 2 LAMal délègue la compétence au Conseil fédéral pour excepter de l'assurance obligatoire certaines catégories de personnes. Faisant usage de cette délégation dans le cadre tracé par le législateur, l'autorité exécutive a ainsi prévu l'exception à l'obligation de s'assurer, sur requête, des personnes qui sont obligatoirement assurées contre la maladie en vertu du droit étranger,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 Aux termes de l'art. 6 LaMal, "1 Les cantons veillent au respect de l'obligation de s'assurer.</w:t>
      </w:r>
    </w:p>
    <w:p>
      <w:r>
        <w:t>A/1953/2013 - 10/14 - 2 L'autorité désignée par le canton affilie d'office toute personne tenue de s'assurer qui n'a pas donné suite à cette obligation en temps utile." L'art. 4 LaLAMal précise que "1 Le service de l’assurance-maladie contrôle l’affiliation des assujettis. 2 Conformément à l'article 32 de la loi fédérale sur la partie générale du droit des assurances sociales, du 6 octobre 2000, les autorités administratives et judiciaires ainsi que les assureurs et autres organes d'assurances sociales lui fournissent gratuitement, dans des cas particuliers et sur demande écrite et motivée, les données et pièces nécessaires à l'exécution de la LAMal et de la présente loi. Les articles 84 et 84a LAMal sont réservés. 3 L’employeur d’un ressortissant étranger exerçant une activité dépendante et dont l’autorisation de séjour est valable pour moins de trois mois est tenu de l’affilier lorsque l’étranger ne bénéficie pas d’une couverture d’assurance équivalant à celle prévue par la LAMal. 4 Les assurés et les employeurs doivent collaborer gratuitement à l'exécution de la LAMal et de la présente loi." Il incombe aux cantons de veiller au respect de l'obligation de s'assurer, mais aussi de statuer sur les requêtes d'exemption. A cet effet, les cantons désignent l'autorité cantonale compétente pour statuer sur ces requêtes (art. 6 LAMal et 10 al. 2 OAMal) et fixent les règles de procédure (RAMA 2000, KV 102 p. 20 consid 4c). En application de cette disposition légale de rang fédéral, le législateur genevois a édicté les art. 4 à 6 de la loi genevoise d’application de la loi fédérale sur l’assurance-maladie du 29 mai 1997 (LaLAMal; RS-GE J 3 05) qui confient cette mission au SAM. Dans ce cadre, l'art. 6 al. 3 LaLAMal prévoit que l'affiliation d'office est annulée si elle se révèle injustifiée et que l'assuré en supporte les frais s'il est en faute. Dans un tel cas, un montant de 50 fr. sera prélevé par l'office (cf. Mémorial du Grand Conseil 1996 25/IV 3013).</w:t>
      </w:r>
    </w:p>
    <w:p>
      <w:r>
        <w:rPr>
          <w:b/>
        </w:rPr>
        <w:t>E. 7</w:t>
      </w:r>
    </w:p>
    <w:p>
      <w:r>
        <w:t>En l’espèce, il y a lieu de constater que le SAM n’a pas failli à sa mission de contrôler l’affiliation à l’assurance obligatoire des soins de l’intéressé. L’intéressé a été affilié auprès de la CSS du 1er octobre 2008 au 31 décembre 2009 et auprès de SANITAS depuis le 1er janvier 2010. On ne saurait par ailleurs reprocher au SAM de n’avoir pas fait en sorte que l’intéressé ne soit plus affilié auprès de SANITAS, comme il le souhaitait. Il appartient en effet à l’intéressé, et à lui seul, de résilier son contrat auprès de SANITAS et de conclure un nouveau contrat auprès de l’assureur de son choix (art. 4 LAMal). A cet égard, il y a lieu de rappeler qu’aux termes de l’art. 7 LAMal,</w:t>
      </w:r>
    </w:p>
    <w:p>
      <w:r>
        <w:t>A/1953/2013 - 11/14 - « 1 L'assuré peut, moyennant un préavis de trois mois, changer d'assureur pour la fin d'un semestre d'une année civile. 2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(office)1 au moins deux mois à l'avance et signaler à l'assuré qu'il a le droit de changer d'assureur. (…) 5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6 Lorsque le changement d'assureur est impossible du fait de l'ancien assureur, celui-ci doit réparer le dommage qui en résulte pour l'assuré, en particulier la différence de prime. » La Cour de céans relève au surplus que conformément à l’art. 64a al. 4 LAMal, introduit dans la loi par la novelle du 18 mars 2005, en sa teneur en vigueur du 1er janvier 2006 au 31 décembre 2011, en dérogation à l'art. 7, l'assuré en retard de paiement ne peut pas changer d'assureur tant qu'il n'a pas payé intégralement les primes ou les participations aux coûts arriérées ainsi que les intérêts moratoires et les frais de poursuite (cf. ATF 9C_477/2008, 9C_660/2007). Les modalités prévues par l’art. 7 LAMal excluent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(RDAT I 2001 no 61 p. 260; MAURER, op.cit., § 3 let. b/cc, p. 38). Le refus opposé, par un assureur, à un candidat au changement d'assureur n'entraîne pas une interruption de la protection d'assurance; tant qu'un nouvel assureur n'a pas fait savoir au premier qu'il assure l'intéressé sans interruption de la protection d'assurance, le candidat au changement d'assureur lui reste affilié. Toute autre interprétation est contraire à la loi et incompatible avec les dispositions relatives à la réparation du dommage subi par l'assuré du fait du nouvel ou de l'ancien assureur (ATF 128 V 263). On ne saurait dès lors reprocher au SAM un déni de justice, ce d’autant moins qu’il a, à chaque interpellation de l’intéressé, répondu de façon adéquate et dans les meilleurs délais.</w:t>
      </w:r>
    </w:p>
    <w:p>
      <w:r>
        <w:rPr>
          <w:b/>
        </w:rPr>
        <w:t>E. 8</w:t>
      </w:r>
    </w:p>
    <w:p>
      <w:r>
        <w:t>L'intéressé allègue s'être fié aux déclarations tenues par un collaborateur du SAM, selon lesquelles celui-ci était prêt à « faire repartir à zéro le contrat d'assurance avec une compagnie de notre choix pour mettre fin à cet imbroglio »".</w:t>
      </w:r>
    </w:p>
    <w:p>
      <w:r>
        <w:t>A/1953/2013 - 12/14 -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Une autorité ne peut toutefois pas valablement promettre le fait d’une autre autorité (KNAPP, Précis de droit administratif, 4e éd., p. 108).</w:t>
      </w:r>
    </w:p>
    <w:p>
      <w:r>
        <w:rPr>
          <w:b/>
        </w:rPr>
        <w:t>E. 9</w:t>
      </w:r>
    </w:p>
    <w:p>
      <w:r>
        <w:t>En l’espèce, l’intéressé a cru que le SAM allait se charger lui-même du changement d’assureur. Or, le SAM ne pouvait précisément pas promettre le fait d’un assureur, la quatrième condition n’étant au surplus pas réalisée. Il ne peut dès lors être admis dans le cas particulier que le droit à la protection de la bonne foi puisse être valablement invoqué.</w:t>
      </w:r>
    </w:p>
    <w:p>
      <w:r>
        <w:rPr>
          <w:b/>
        </w:rPr>
        <w:t>E. 10</w:t>
      </w:r>
    </w:p>
    <w:p>
      <w:r>
        <w:t>L'intéressé reproche également au SAM de n'avoir pas accédé à sa demande d'entretien. Il invoque ce faisant tout d'abord une violation de son droit d'être entendu.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126 I 15 consid. 2a/aa, 124 V 180 consid. 1a).</w:t>
      </w:r>
    </w:p>
    <w:p>
      <w:r>
        <w:t>A/1953/2013 - 13/14 - La garantie offerte par l’art. 29 al. 2 de la Constitution fédérale n’implique pas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par l'autorité de recours ne doit avoir lieu qu'exceptionnellement (ATF 127 V 431 consid. 3d/aa, 126 I 70, 126 V 130 consid. 2b et les références).</w:t>
      </w:r>
    </w:p>
    <w:p>
      <w:r>
        <w:rPr>
          <w:b/>
        </w:rPr>
        <w:t>E. 11</w:t>
      </w:r>
    </w:p>
    <w:p>
      <w:r>
        <w:t>En l’espèce, l’intéressé a pu faire valoir ses arguments dans plusieurs écritures, de sorte que son droit d’être entendu a été respecté. Par ailleurs, en admettant même que son droit d’être entendu ait été violé par le SAM, il faut considérer que cette supposée violation a été réparée puisque la Cour de céans, qui jouit d'un plein pouvoir d'examen, a donné la possibilité à l'intéressé de faire valoir ses arguments.</w:t>
      </w:r>
    </w:p>
    <w:p>
      <w:r>
        <w:rPr>
          <w:b/>
        </w:rPr>
        <w:t>E. 12</w:t>
      </w:r>
    </w:p>
    <w:p>
      <w:r>
        <w:t>Aussi le recours pour déni de justice est-il rejeté.</w:t>
      </w:r>
    </w:p>
    <w:p>
      <w:r>
        <w:t>A/1953/2013 - 14/14 -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