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ATAS/1102/2009 vom 8. September 2009</w:t>
      </w:r>
    </w:p>
    <w:p>
      <w:r>
        <w:t>GE Cour de justice, 2009-09-08, FR</w:t>
      </w:r>
    </w:p>
    <w:p>
      <w:r>
        <w:rPr>
          <w:b/>
        </w:rPr>
        <w:t xml:space="preserve">Quelle: </w:t>
      </w:r>
      <w:r>
        <w:t>https://mcp.opencaselaw.ch/entscheid/ge_gerichte_ATAS_1102_2009</w:t>
      </w:r>
    </w:p>
    <w:p>
      <w:r>
        <w:t>FR: GE_GERICHTE ATAS/1102/2009 du 8 septembre 2009</w:t>
      </w:r>
    </w:p>
    <w:p>
      <w:r>
        <w:t>IT: GE_GERICHTE ATAS/1102/2009 del 8 settembre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w:t>
      </w:r>
    </w:p>
    <w:p>
      <w:r>
        <w:t>A/956/2009 - 7/14 -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13 février 2009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à partir du mois de mars 2007 ou à une mesure d’ordre professionnel doit être examiné au regard des nouvelles normes de la LPGA et des modifications de la LAI consécutives à la 4ème et à la 5ème révisions de cette loi, dans la mesure de leur pertinence (ATF 130 V 445 et les références, voir également ATF 130 V 329).</w:t>
      </w:r>
    </w:p>
    <w:p>
      <w:r>
        <w:rPr>
          <w:b/>
        </w:rPr>
        <w:t>E. 3</w:t>
      </w:r>
    </w:p>
    <w:p>
      <w:r>
        <w:t>Interjeté dans les forme et délai prescrits par la loi, le présent recours est recevable (art. 56 à 61 LPGA).</w:t>
      </w:r>
    </w:p>
    <w:p>
      <w:r>
        <w:rPr>
          <w:b/>
        </w:rPr>
        <w:t>E. 4</w:t>
      </w:r>
    </w:p>
    <w:p>
      <w:r>
        <w:t>Est litigieux le droit de l’assurée à des prestations de l’assurance-invalidité, singulièrement son droit à une rente et à des mesures d’ordre professionnel.</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6</w:t>
      </w:r>
    </w:p>
    <w:p>
      <w:r>
        <w:t>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w:t>
      </w:r>
    </w:p>
    <w:p>
      <w:r>
        <w:t>A/956/2009 - 8/14 -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Par ailleurs, s’agissant des troubles dépressifs, il y a lieu d’observer que selon la doctrine médicale (cf. notamment DILLING/MOMBOUR/SCHMIDT [Hrsg.],</w:t>
      </w:r>
    </w:p>
    <w:p>
      <w:r>
        <w:t>A/956/2009 - 9/14 -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w:t>
      </w:r>
    </w:p>
    <w:p>
      <w:r>
        <w:t>A/956/2009 - 10/14 - (ATF 125 V 351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En l’espèce, l’assurée a été soumise, en date du 5 mai 2008, à un examen rhumato- psychiatrique par les Drs P____________ et Q____________, médecins au SMR, lesquels ont retenu un syndrome douloureux ostéoarticulaire diffus apparenté à la fibromyalgie, un excès pondéral, une dysthymie (F34.1) et un trouble panique (F41.0), toutefois, aucun de ces diagnostics n’avait de répercussion sur la capacité de travail de l’assurée. Les examinateurs ont conclu à une entière capacité de travail dans toute activité lucrative, sans limitations fonctionnelles, depuis toujours, à l’exception de brèves périodes d’incapacité de travail justifiées par la cure de hernie discale cervicale au mois de mai 2006, puis, par le by-pass gastrique au mois d’avril 2008. Il y a lieu de constater que ce rapport est fondé sur une anamnèse familiale, professionnelle, médicale, psychosociale et psychiatrique de l’assurée, sur ses plaintes ainsi que sur des examens complets. Les diagnostics ont été clairement posés et les conclusions convenablement motivées. En effet, les examinateurs ont précisément exposé pour quelles raisons ils retenaient uniquement une dysthymie et pourquoi ils ont considéré que l’assurée n’avait présenté, d’après eux, qu’un épisode dépressif moyen en mars 2007. De plus, on comprend également ce qui les a déterminés à conclure à un syndrome douloureux diffus assimilé à une fibromyalgie, à une entière capacité de travail dans toute activité lucrative et à une absence de limitations fonctionnelles. Enfin, leurs conclusions n’apparaissent pas en contradiction avec leurs constatations cliniques et il n’existe aucun élément découlant du rapport pouvant faire douter le Tribunal de céans de leur objectivité. Il sera ainsi considéré que ce rapport présente a priori valeur probante au sens de la jurisprudence.</w:t>
      </w:r>
    </w:p>
    <w:p>
      <w:r>
        <w:rPr>
          <w:b/>
        </w:rPr>
        <w:t>E. 9</w:t>
      </w:r>
    </w:p>
    <w:p>
      <w:r>
        <w:t>Les rapports d’autres médecins sont cependant présents au dossier, de sorte qu’il doit être déterminé s’ils contiennent des éléments permettant de s’en écarter. La Dresse U____________ s’est tout d’abord exprimée sur l’état de santé et la capacité de travail de l’assurée. Elle retient des diagnostics similaires à ceux des examinateurs SMR en ajoutant celui de cervicobrachialgies gauches sur hernie discale C5-C6, de laquelle l’assurée a été opérée en date du 8 mai 2006 et qui a</w:t>
      </w:r>
    </w:p>
    <w:p>
      <w:r>
        <w:t>A/956/2009 - 11/14 - engendré une incapacité de travail totale pendant deux semaines, puis de 50% pendant une semaine, suite à quoi la capacité de travail était à nouveau entière. La Dresse U____________ conclut toutefois à une incapacité de travail totale dans toute activité lucrative en raison des douleurs présentées par l’assurée, semblant ainsi se fonder que sur des considérations subjectives. La Dresse L_____________ a quant à elle retenu, outre un syndrome douloureux chronique, des cervicalgies et une discectomie C5-C6, une possible spondylarthropathie. Ce dernier diagnostic a cependant été exclu par les examinateurs du SMR qui ont expliqué qu’au vu de l’examen clinique, il pouvait être uniquement conclu à un syndrome douloureux diffus sans soubassement physiopathologique cohérent. Le Dr N_____________ n’est pas précis dans les diagnostics posés - douleurs du rachis et des 4 membres - et se réfère au rapport de la Dresse L_____________ pour ce qui est de l’existence d’une fibromyalgie. Ce médecin a attesté d’une capacité de travail de 50% dans une activité sédentaire en raison de la fatigabilité et des douleurs de l’assurée, de sorte qu’il s’est également principalement basé sur des considérations subjectives pour établir ses conclusions. Quoi qu’il en soit, les rapports de ces médecins, qui doivent tous trois être considérés comme des médecins traitants enclins, d’après la jurisprudence, en cas de doute, à prendre parti pour leur patient en raison du rapport de confiance qui les unit à ce dernier, sont très courts et peu motivés, de sorte qu’ils ne sauraient valablement remettre en cause les conclusions du rapport d’examen du SMR. Le rapport de la Dresse O_____________ ne permet pas davantage de s’écarter du contenu du rapport des examinateurs du SMR. En effet, bien qu’elle ait posé des diagnostics clairs et que son rapport soit motivé, il est vrai, comme l’ont exposé les médecins du SMR, qu’elle n’a pas fait état d’idées de mort ou suicidaires permettant de retenir un épisode dépressif sévère, de sorte qu’il y a lieu de suivre les conclusions de l’examen SMR tendant à ne retenir qu’un épisode dépressif moyen pour ce qui est du début de l’année 2007. Il sera également précisé que la Dresse O_____________ semble se contredire dans son rapport. En effet, elle indique que l’assurée est encore très fragile sur le plan psychiatrique, ce qui laisse apparaître une vraisemblable amélioration de son état de santé, cependant, elle précise, par la suite, qu’elle n’a pas noté d’amélioration sur le plan psychologique. On ne comprend ainsi pas si son état de santé s’est amélioré dans une certaine mesure ou pas. Enfin, le dernier rapport au dossier, soit celui des médecins de la Clinique de Montana du mois de décembre 2008, ne fait que confirmer les diagnostics posés et les constatations objectives ressortant de l’examen SMR.</w:t>
      </w:r>
    </w:p>
    <w:p>
      <w:r>
        <w:t>A/956/2009 - 12/14 - Par conséquent et au vu de tout ce qui vient d’être exposé, le Tribunal de céans ne peut que constater la pleine valeur probante du rapport d’examen SMR et en retenir les conclusions.</w:t>
      </w:r>
    </w:p>
    <w:p>
      <w:r>
        <w:rPr>
          <w:b/>
        </w:rPr>
        <w:t>E. 10</w:t>
      </w:r>
    </w:p>
    <w:p>
      <w:r>
        <w:t>Reste à déterminer si les troubles assimilables à une fibromyalgie sont invalidants.</w:t>
      </w:r>
    </w:p>
    <w:p>
      <w:r>
        <w:rPr>
          <w:b/>
        </w:rPr>
        <w:t>E. 11</w:t>
      </w:r>
    </w:p>
    <w:p>
      <w:r>
        <w:t>Il y a tout d’abord lieu d’examiner s’il existe une comorbidité psychiatrique importante de par sa gravité, son acuité et sa durée comme le prétend l’assurée. Les examinateurs du SMR ont constaté la présence d’une tristesse exprimée et accompagnée de ruminations existentielles, d’une diminution de l’intérêt et du plaisir pour les activités de la vie quotidiennes et les activités habituellement agréables, d’une mauvaise image de soi ou encore d’une absence de libido. Lors de l’entretien, il n’a en revanche pas été mis en évidence de symptomatologie anxieuse type crise de panique, toutefois, l’assurée a décrit deux crises d’angoisse au cours des derniers mois. Ils ont précisé que les difficultés de l’assurée lors de son enfance et de son adolescence pouvaient expliquer une dépression chronique de l’humeur et une indication à une psychothérapie, cependant, cette dépression chronique rentrait dans le contexte d’une dysthymie et était d’une intensité insuffisante pour retenir un trouble dépressif léger ou moyen, à l’exception de l’épisode dépressif moyen présenté par l’assurée au début de l’année 2007. Quant au rapport de décembre 2008 de la Clinique de Montana, il en ressort que l’assurée présentait alors un trouble dépressif récurrent, épisode actuel moyen avec somatisations. Ces constatations ne permettent ainsi pas de retenir une comorbidité psychiatrique importante au sens de la jurisprudence.</w:t>
      </w:r>
    </w:p>
    <w:p>
      <w:r>
        <w:rPr>
          <w:b/>
        </w:rPr>
        <w:t>E. 12</w:t>
      </w:r>
    </w:p>
    <w:p>
      <w:r>
        <w:t>Les autres critères déterminants permettant de conclure à une exigibilité sur le plan psychique de l’exercice d’une activité lucrative ne sont pas non plus réalisés. En effet, même s’il doit être considéré que l’assurée présente des affections corporelles chroniques s’étendant sur plusieurs années sans rémission durable, il n’apparaît pas qu’elle subisse une perte d’intégration sociale dans toutes les manifestations de la vie, s’occupant toujours énormément de sa famille. De plus, elle ne présente pas d’état psychique cristallisé, sans évolution possible au plan thérapeutique, attendu notamment que l’épisode dépressif moyen présenté en 2007 avait évolué favorablement. Enfin, les examinateurs n’ont pas mis en exergue d’échec de traitements ambulatoires ou stationnaires conformes aux règles de l’art.</w:t>
      </w:r>
    </w:p>
    <w:p>
      <w:r>
        <w:rPr>
          <w:b/>
        </w:rPr>
        <w:t>E. 13</w:t>
      </w:r>
    </w:p>
    <w:p>
      <w:r>
        <w:t>Par conséquent, c’est avec raison que l’OCAI a considéré que la fibromyalgie présentée par l’assurée n’avait pas de caractère invalidant au sens de la jurisprudence et que sa capacité de travail était entière dans toute activité lucrative.</w:t>
      </w:r>
    </w:p>
    <w:p>
      <w:r>
        <w:rPr>
          <w:b/>
        </w:rPr>
        <w:t>E. 14</w:t>
      </w:r>
    </w:p>
    <w:p>
      <w:r>
        <w:t>Le degré d’invalidité est dès lors nul (cf. arrêt du Tribunal fédéral des assurances I 43/05 du 30 juin 2006, consid. 5.2).</w:t>
      </w:r>
    </w:p>
    <w:p>
      <w:r>
        <w:rPr>
          <w:b/>
        </w:rPr>
        <w:t>E. 15</w:t>
      </w:r>
    </w:p>
    <w:p>
      <w:r>
        <w:t>L’assurée n’a ainsi pas droit à une rente d’invalidité, de sorte que la décision de l’OCAI devra être confirmée.</w:t>
      </w:r>
    </w:p>
    <w:p>
      <w:r>
        <w:t>A/956/2009 - 13/14 -</w:t>
      </w:r>
    </w:p>
    <w:p>
      <w:r>
        <w:rPr>
          <w:b/>
        </w:rPr>
        <w:t>E. 16</w:t>
      </w:r>
    </w:p>
    <w:p>
      <w:r>
        <w:t>Se pose enfin la question de l’octroi d’une mesure de reclassement dans une nouvelle profession ou d’une mesure d’aide au placement.</w:t>
      </w:r>
    </w:p>
    <w:p>
      <w:r>
        <w:rPr>
          <w:b/>
        </w:rPr>
        <w:t>E. 17</w:t>
      </w:r>
    </w:p>
    <w:p>
      <w:r>
        <w:t>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1er).</w:t>
      </w:r>
    </w:p>
    <w:p>
      <w:r>
        <w:rPr>
          <w:b/>
        </w:rPr>
        <w:t>E. 18</w:t>
      </w:r>
    </w:p>
    <w:p>
      <w:r>
        <w:t>Il a précédemment été établi que l’assurée présentait une pleine capacité de travail dans toute activité lucrative, de sorte qu’aucune mesure d’ordre professionnel ne saurait entrer en considération.</w:t>
      </w:r>
    </w:p>
    <w:p>
      <w:r>
        <w:rPr>
          <w:b/>
        </w:rPr>
        <w:t>E. 19</w:t>
      </w:r>
    </w:p>
    <w:p>
      <w:r>
        <w:t>Le recours de l’assurée sera dès lors entièrement rejeté.</w:t>
      </w:r>
    </w:p>
    <w:p>
      <w:r>
        <w:t>A/956/2009 - 14/14 -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