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ATAS/1101/2021 vom 26. Oktober 2021</w:t>
      </w:r>
    </w:p>
    <w:p>
      <w:r>
        <w:t>GE Cour de justice, 2021-10-26, FR</w:t>
      </w:r>
    </w:p>
    <w:p>
      <w:r>
        <w:rPr>
          <w:b/>
        </w:rPr>
        <w:t xml:space="preserve">Quelle: </w:t>
      </w:r>
      <w:r>
        <w:t>https://mcp.opencaselaw.ch/entscheid/ge_gerichte_ATAS_1101_2021</w:t>
      </w:r>
    </w:p>
    <w:p>
      <w:r>
        <w:t>FR: GE_GERICHTE ATAS/1101/2021 du 26 octobre 2021</w:t>
      </w:r>
    </w:p>
    <w:p>
      <w:r>
        <w:t>IT: GE_GERICHTE ATAS/1101/2021 del 26 ottobre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compte tenu de la suspension des délais pendant la période du 18 décembre au 2 janvier inclusivement (art. 38 al. 4 let. c LPGA et art. 89C let. c LPA), le recours est recevable (art. 56 ss LPGA et 62 ss LPA) sous réserve de ce qui suit. La recourante conclut à l'annulation de la décision de l'intimé du 6 novembre 2020. Cette conclusion est irrecevable, la décision sur opposition se substituant au prononcé antérieur (ATF 140 V 70 consid. 4.2). Il en va de même de la conclusion de la recourante tendant à ce que la chambre de céans confirme que le dirigeant de la société peut prétendre aux indemnités APG. En tant qu'elle est subsidiaire à une action formatrice, cette conclusion constatatoire est irrecevable (arrêt du Tribunal fédéral 9C_105/2016 du 5 avril 2016 consid. 1.1 ; ATAS/79/2020 du 30 janvier 2020 consid. 2). Elle est du reste exorbitante au présent litige.</w:t>
      </w:r>
    </w:p>
    <w:p>
      <w:r>
        <w:rPr>
          <w:b/>
        </w:rPr>
        <w:t>E. 3</w:t>
      </w:r>
    </w:p>
    <w:p>
      <w:r>
        <w:t>Le litige porte sur le droit de la recourante à une indemnité RHT, pour une durée de quatre mois, à compter du 1er septembre au 31 décembre 2020.</w:t>
      </w:r>
    </w:p>
    <w:p>
      <w:r>
        <w:rPr>
          <w:b/>
        </w:rPr>
        <w:t>E. 4</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w:t>
      </w:r>
    </w:p>
    <w:p>
      <w:r>
        <w:t>A/38/2021 - 5/11 - art. 31ss). En effet, selon l’art. 31 al. 1 let. b et d LACI, les travailleurs dont la durée normale de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b.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consid. 3a). L’art. 32 al. 3, 1ère phrase,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w:t>
      </w:r>
    </w:p>
    <w:p>
      <w:r>
        <w:t>A/38/2021 - 6/11 - encore que la perte de travail causée par un dommage n’est pas prise en considération tant qu’elle est couverte par une assurance privée. c.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[ci-après :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RHT.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w:t>
      </w:r>
    </w:p>
    <w:p>
      <w:r>
        <w:t>A/38/2021 - 7/11 -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w:t>
      </w:r>
    </w:p>
    <w:p>
      <w:r>
        <w:rPr>
          <w:b/>
        </w:rPr>
        <w:t>E. 5</w:t>
      </w:r>
    </w:p>
    <w:p>
      <w:r>
        <w:t>a.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(RS 818.101.24 ; RO 2020 573) puis l’ordonnance 2 sur les mesures destinées à lutter contre le coronavirus du 13 mars 2020 (ordonnance 2 COVID-19 ; RS 818.101.24 ; RO 2020 773). Le 19 juin 2020, à la suite d’une diminution du nombre de nouveaux cas, le Conseil fédéral a requalifié la situation extraordinaire en situation particulière et restructuré ses mesures notamment en édictant l’ordonnance sur les mesures destinées à lutter contre l’épidémie de COVID-19 en situation particulière (ordonnance COVID-19 situation particulière – RS 818.101.26). Selon cette ordonnance, chaque personne était tenue de respecter les recommandations de l'Office fédéral de la santé publique (ci-après : OFSP) en matière d'hygiène et de conduite face à l'épidémie de COVID-19 (art. 3). Ces recommandations comprenaient notamment le maintien des distances, le port du masque et le respect du nombre maximum de personnes. Si possible, les personnes devaient se rencontrer à l'extérieur plutôt qu'à l'intérieur. b.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qui prévoyait, à son art. 8b al. 1 que l’employeur n’était pas tenu de respecter un délai de préavis, lorsqu’il avait l’intention de requérir l’indemnité en cas de RHT en faveur de ses travailleurs. Cette disposition a été abrogée avec effet au 1er juin 2020 (RO 2020 3569). Quant à l’art. 8c de l’ordonnance COVID-19 assurance-chômage, il prévoyait qu’en dérogation à l’art. 36 al. 1 LACI, le préavis devait être renouvelé lorsque la réduction de l’horaire de travail durait plus de six mois. Cette disposition a été abrogée par modification du 12 août 2020, avec effet au 1er septembre 2020 (RO 3569). 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réduction de l’horaire de travail dure plus de six mois. À partir du 1er juillet 2021, une réduction de</w:t>
      </w:r>
    </w:p>
    <w:p>
      <w:r>
        <w:t>A/38/2021 - 8/11 - l’horaire de travail pour une durée de plus de trois mois ne peut être autorisée que jusqu’au 31 décembre 2021 au plus tard. Toute modification rétroactive d’un préavis existant doit faire l’objet d’une demande auprès de l’autorité cantonale jusqu’au 30 avril 2021 au plus tard. L’art. 17b al. 1 est entré en vigueur rétroactivement le 1er septembre 2020 (RO 2021 153). Aucune modification n’a toutefois été apportée aux critères relatifs à la perte de travail à prendre en considération (art. 31 al. 1 let. b et 32 al. 1 et 3 LACI).</w:t>
      </w:r>
    </w:p>
    <w:p>
      <w:r>
        <w:rPr>
          <w:b/>
        </w:rPr>
        <w:t>E. 6</w:t>
      </w:r>
    </w:p>
    <w:p>
      <w:r>
        <w:t>Dans la décision entreprise, l’intimé s’est opposé au paiement de l’indemnité en cas de RHT, au motif que la perte de travail, en plus de ne pas être avérée, n’était pas inévitable. Il a considéré que l'employeuse n'avait fourni aucun justificatif concernant l'annulation de ses mandats par ses clients, pas plus qu'elle n'avait précisé quelles mesures elle avait prises pour trouver de nouveaux clients et éviter de recourir aux indemnités en cas de RHT. a. Il convient en premier lieu d’examiner si la recourante a subi une perte de travail. En l'occurrence, la recourante a pour but d'offrir aux entreprises des conseils et des services notamment dans la conduite de projets, de la « business analyse » et de la formation. Dans la décision entreprise, l’intimé conteste l'existence d'une perte de travail, relevant que la recourante n'a pas démontré que les mandats avaient été annulés ou reportés. Devant la chambre de céans, la recourante a toutefois démontré, pièces à l'appui, que plusieurs mandats de conseil et de formation avaient été résiliés en raison de la situation sanitaire. Cela résulte des courriels de la société D______ du 17 mars 2020 (pièce 13 recourante), de la société E______ du 24 décembre 2020 (pièce 14 recourante), de la G______ (pièce 15 recourante) et de F______ (Suisse) SA du 28 décembre 2020 (pièce 16 recourante). La baisse des activités de la recourante s'est d'ailleurs traduite par une baisse importante de ses produits d'exploitation, notamment de ses honoraires, lesquels ont passé de CHF 138'500.- en 2019 à CHF 24'500.- en 2020 (cf. comptes de résultat de la société, produits le 4 octobre 2021). À cela s'ajoute que le tableau comparatif des heures travaillées, produit par la société à l'appui de son recours, fait état de 85 heures travaillées en moyenne par mois en 2020 et de 252 heures en moyenne par mois en 2019 (pièce 17 recourante). Compte tenu de ces éléments, l’existence d’une perte de travail doit être admise. b. Il convient ensuite d’admettre que les pertes de travail sont consécutives à des mesures prises par les autorités. Il ressort en effet du dossier que les mandats ont été résiliés en raison des mesures prises par les autorités dans le cadre de la crise sanitaire (pièces 13 à 16 recourante). Compte tenu du contexte sanitaire et de l'incertitude liée à l'évolution de la crise, les entreprises clientes de la recourante ont décidé de suspendre, voire résilier, les mandats de conseil et de formation conclus avec l'intéressée, ce qui a entraîné des conséquences directes sur son activité. Les conditions pour la reconnaissance d’un cas de rigueur au sens des art. 32 al. 3 LACI et 51 OACI, dont la liste n’est pas exhaustive, doivent partant être considérées comme étant réalisées. Or, même dans un tel cas de figure, l’indemnisation est</w:t>
      </w:r>
    </w:p>
    <w:p>
      <w:r>
        <w:t>A/38/2021 - 9/11 - exclue si la perte de travail est due à l’un des motifs de l’art. 33 LACI, en particulier en présence d’un risque normal d’exploitation (al. 1 let. a). Par ailleurs, les pertes de travail ne peuvent être prises en considération que si l’employeur ne peut les éviter par des mesures appropriées et économiquement supportables ou s’il peut faire répondre un tiers du dommage. Comme exposé, cette dernière condition est l’expression de l’obligation de diminuer le dommage voulant que l’employeur prenne toutes les mesures raisonnables pour éviter la perte de travail. c. S’agissant de l’art. 33 al. 1 let. a LACI, il n’est pas contesté, ni contestable, que la pandémie de Coronavirus constitue une circonstance exceptionnelle dépassant le cadre du risque normal d’exploitation à la charge de l’employeur (cf. directive SECO 2020/15 du 30 octobre 2020). Il convient en effet d’admettre la présence de circonstances exceptionnelles non liées aux risques d’exploitation d’une entreprise. d. Reste à examiner si, comme le prétend l’intimé, la recourante aurait pu éviter les pertes de travail par des mesures appropriées et économiquement supportables. Devant la chambre de céans, la recourante a expliqué que, depuis mars 2020, elle n'avait cessé de chercher des nouveaux mandats. S'agissant des prestations en matière de formation, les efforts de la société avaient partiellement abouti, puisque l'une de ses clientes l'avait mandatée pour des cours de formation durant l'été 2020, même si elle avait dû renoncer aux prestations de conseil en raison de la situation économique. La recourante avait par ailleurs adapté ses cours de formation en les proposant à distance, précisant que cette nouvelle prestation, qui était de plus en plus plébiscitée sur le marché, était susceptible d'intéresser de nouveaux clients. La société allait ainsi commencer une campagne de marketing qui devrait aboutir à la conclusion de nouveaux mandats pour des formations à distance dès le deuxième ou troisième semestre 2021. Sur la base de l'ensemble de ces éléments, il convient de retenir que la recourante a pris toutes les mesures raisonnables pour diminuer le dommage. Les conditions posées par la loi pour lui accorder des indemnités en cas de RHT sont ainsi réunies.</w:t>
      </w:r>
    </w:p>
    <w:p>
      <w:r>
        <w:rPr>
          <w:b/>
        </w:rPr>
        <w:t>E. 7</w:t>
      </w:r>
    </w:p>
    <w:p>
      <w:r>
        <w:t>Il convient encore de déterminer la date à partir de laquelle les indemnités peuvent être octroyées, étant précisé que le formulaire de préavis a été transmis le 29 octobre 2020, pour des indemnités en cas de RHT du 1er septembre 2020 au 31 décembre 2020. Conformément à l’art. 17b al. 1 de la loi COVID-19, entré en vigueur avec effet rétroactif au 1er septembre 2020, aucun délai de préavis ne doit être observé pour la RHT. Cette disposition institue ainsi une rétroactivité au sens propre en ce sens que les faits juridiquement déterminants se sont produits avant l’adoption du nouveau droit. Dès lors qu’elle est prévue par une loi fédérale (art. 190 de la Constitution fédérale de la Confédération suisse du 18 avril 1999 [Cst. - RS 101] et qu’elle vise à conférer de nouveaux avantages aux administrés (cf. Thierry TANQUEREL, Manuel de droit administratif, 2ème éd., n. 421), il convient de l’appliquer à la situation de la recourante (cf. ATAS/364/2021 du</w:t>
      </w:r>
    </w:p>
    <w:p>
      <w:r>
        <w:t>A/38/2021 - 10/11 - 20 avril 2021, consid 7a). Ainsi, dans la mesure où le formulaire de préavis a été transmis par courriel le 29 octobre 2020, pour des indemnités en cas de RHT à compter du 1er septembre 2020, l’indemnité en cas de RHT doit être accordée dès la date de dépôt de la demande de RHT, soit le 29 octobre 2020. Contrairement à ce que soutient la recourante, le droit aux indemnités ne peut pas naître rétroactivement à l'avis (cf. arrêt du Tribunal fédéral 8C_123/2021 du 7 avril 2021 consid. 4.3). Tenant compte du fait que la période maximale de la RHT était de six mois (cf. art. 17b al. 1 de la loi COVID-19), les indemnités peuvent lui être accordées jusqu'au terme sollicité, soit jusqu'au 31 décembre 2020.</w:t>
      </w:r>
    </w:p>
    <w:p>
      <w:r>
        <w:rPr>
          <w:b/>
        </w:rPr>
        <w:t>E. 8</w:t>
      </w:r>
    </w:p>
    <w:p>
      <w:r>
        <w:t>Le recours sera donc partiellement admis et la décision litigieuse annulée. Il sera dit que la recourante a droit à l’indemnité en cas de RHT du 29 octobre 2020 au 31 décembre 2020, sous réserve de l’examen par la caisse de chômage des conditions conformément à l’art. 39 LACI. La caisse examinera en particulier la question de savoir si les conditions personnelles fixées à l'art. 31 al. 3 LACI sont remplies, ce qui est en l'occurrence contesté s'agissant du directeur de la recourante. Bien qu’obtenant partiellement gain de cause, la recourante, qui n’est pas représentée en justice et qui n’a pas allégué avoir déployé des efforts dépassant la mesure de ce que tout un chacun consacre à la gestion courante de ses affaires, n’a pas droit à des dépens. Pour le surplus, en l’absence de loi spéciale prévoyant des frais judiciaires, la procédure est gratuite (art. 61 let. fbis LPGA en lien avec l’art. 1 al. 1 LACI). * * * * * *</w:t>
      </w:r>
    </w:p>
    <w:p>
      <w:r>
        <w:t>A/38/2021 - 11/11 -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