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ATAS/1100/2019 vom 25. November 2019</w:t>
      </w:r>
    </w:p>
    <w:p>
      <w:r>
        <w:t>GE Cour de justice, 2019-11-25, FR</w:t>
      </w:r>
    </w:p>
    <w:p>
      <w:r>
        <w:rPr>
          <w:b/>
        </w:rPr>
        <w:t xml:space="preserve">Quelle: </w:t>
      </w:r>
      <w:r>
        <w:t>https://mcp.opencaselaw.ch/entscheid/ge_gerichte_ATAS_1100_2019</w:t>
      </w:r>
    </w:p>
    <w:p>
      <w:r>
        <w:t>FR: GE_GERICHTE ATAS/1100/2019 du 25 novembre 2019</w:t>
      </w:r>
    </w:p>
    <w:p>
      <w:r>
        <w:t>IT: GE_GERICHTE ATAS/1100/2019 del 25 novembre 2019</w:t>
      </w:r>
    </w:p>
    <w:p>
      <w:pPr>
        <w:pStyle w:val="Heading2"/>
      </w:pPr>
      <w:r>
        <w:t>Erwägungen</w:t>
      </w:r>
    </w:p>
    <w:p>
      <w:r>
        <w:rPr>
          <w:b/>
        </w:rPr>
        <w:t>E. 31</w:t>
      </w:r>
    </w:p>
    <w:p>
      <w:r>
        <w:t>janvier 2018. c. Finalement, le recourant a droit à une rente entière d’invalidité du 1er novembre 2014 au 29 février 2016, comme alloué dans la décision litigieuse, puis à un quart de rente d’invalidité du 1er mars 2016 au 31 janvier 2018, fondé sur un degré CHF 70'411.- - 42'479.- = 39,6%, arrondi à 40 %. CHF 70’4100.-</w:t>
      </w:r>
    </w:p>
    <w:p>
      <w:r>
        <w:t>A/3143/2018 - 11/12 - d’invalidité de 40 %, selon le calcul précité, et dès le 1er février 2018 à une rente entière d’invalidité, selon la proposition de l’intimé. 9. Etant donné que, depuis le 1er juillet 2006, la procédure n'est plus gratuite (art. 69 al. 1bis LAI), au vu du sort du recours, il y a lieu de condamner l'intimé au paiement d'un émolument de CHF 200.-.</w:t>
      </w:r>
    </w:p>
    <w:p>
      <w:r>
        <w:t>A/3143/2018 - 12/12 -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