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ATAS/1100/2018 vom 22. November 2018</w:t>
      </w:r>
    </w:p>
    <w:p>
      <w:r>
        <w:t>GE Cour de justice, 2018-11-22, FR</w:t>
      </w:r>
    </w:p>
    <w:p>
      <w:r>
        <w:rPr>
          <w:b/>
        </w:rPr>
        <w:t xml:space="preserve">Quelle: </w:t>
      </w:r>
      <w:r>
        <w:t>https://mcp.opencaselaw.ch/entscheid/ge_gerichte_ATAS_1100_2018</w:t>
      </w:r>
    </w:p>
    <w:p>
      <w:r>
        <w:t>FR: GE_GERICHTE ATAS/1100/2018 du 22 novembre 2018</w:t>
      </w:r>
    </w:p>
    <w:p>
      <w:r>
        <w:t>IT: GE_GERICHTE ATAS/1100/2018 del 22 novembre 2018</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Se pose en premier lieu la question de savoir quel statut il convient d'accorder à l'assurée, plus précisément, si c’est à juste titre que l’intimé a retenu que, sans atteinte à sa santé, elle aurait continué à travailler à 80%, alors que l’intéressée allègue qu’elle aurait travaillé à 100% et que seules des raisons médicales l’ont amenée à diminuer son taux d’occupation. b) Tant lors de l'examen initial du droit à la rente qu'à l'occasion d'une révision de celle-ci (art. 17 LPGA), il faut examiner sous l'angle des art. 4 et 5 LAI quelle</w:t>
      </w:r>
    </w:p>
    <w:p>
      <w:r>
        <w:t>A/1151/2017 - 11/15 -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consid. 3.2), en présence de deux versions différentes et contradictoires d'un fait, la préférence doit être accordée à celle que l'assuré a donnée alors qu'il en ignorait peut-être les</w:t>
      </w:r>
    </w:p>
    <w:p>
      <w:r>
        <w:t>A/1151/2017 - 12/15 - conséquences juridiques, les explications nouvelles pouvant être consciemment ou non le résultat de réflexions ultérieures (ATF 121 V 45, consid. 2a).</w:t>
      </w:r>
    </w:p>
    <w:p>
      <w:r>
        <w:rPr>
          <w:b/>
        </w:rPr>
        <w:t>E. 8</w:t>
      </w:r>
    </w:p>
    <w:p>
      <w:r>
        <w:t>En l'espèce, il est vrai que la recourante a réduit son taux d’occupation à 80% depuis plusieurs années déjà. Il ressort ainsi de l'extrait de son compte individuel AVS que c'est en 2006 qu'elle a réalisé son plus haut revenu, à savoir CHF 96'200.-. C’est en octobre 2009, qu’elle a travaillé à 80% pour un employeur durant quelques semaines à peine, puis, depuis mars 2010, pour son employeur actuel. Il est vrai également qu’à deux reprises, le même jour, soit le 30 septembre 2015, lors de l’enquête économique qui a été menée, l’assurée a allégué que, sans atteinte à la santé, elle aurait continué à un taux similaire. Elle s’en est expliqué lors de son audition devant la Cour de céans : elle entendait indiquer par là qu’il s’agissait du taux minimal envisageable pour elle pour des raisons financières. Ces explications apparaissent d’autant plus convaincantes qu’elles sont corroborées par de nombreux éléments de fait démontrant que la volonté réelle de l’intéressée aurait effectivement été de travailler à 100% : - la recourante a continué à travailler à plein temps malgré la naissance de sa fille, en août 1995 et ce, durant plusieurs années ; - lorsqu’elle a réduit son taux d’occupation, en 2009, sa fille était âgée de 14 ans ; cette diminution n’était donc clairement pas motivée par des motifs d’éducation ; - à la même époque, l’assurée a rencontré d’importants problèmes de santé, dont ont attesté plusieurs médecins (trouble bipolaire, trouble dépressif et troubles du sommeil, cf. rapport du Dr C______ du 2 décembre 2014, rapport de l’expert E______ du 18 novembre 2014 et périodes d’hospitalisation en octobre 2010, au printemps 2012 et durant l’été 2014) ; ces troubles sont de nature à entraîner la fatigabilité importante alléguée par l’assurée pour expliquer la réduction de son taux d’activité ; - toute l’attitude de la recourante démontre sa volonté de continuer à travailler envers et contre tout, le plus possible et le plus longtemps possible ; ce trait de caractère a d’ailleurs été souligné tant par le psychiatre traitant que par l’expert E______ ; l’assurée a visiblement l’habitude de travailler au-delà de ses forces ; - la recourante ne peut compter que sur le produit de son propre labeur pour les entretenir, sa fille et elle ; - ainsi qu’elle le relève, ce n’est effectivement pas la recourante qui a interpellé l’assurance-invalidité, mais son assurance perte de gain ; - le fait que l’assurée exerce à un taux de 80% depuis 2009 explique qu’elle se soit référée à ce taux-là lorsqu’elle a répondu à l’enquêtrice ménagère.</w:t>
      </w:r>
    </w:p>
    <w:p>
      <w:r>
        <w:t>A/1151/2017 - 13/15 - Certes, la survenance de l’invalidité est bien postérieure à la réduction du taux d’activité, puisque l’incapacité de travail n’a été supérieure à 40% qu’à compter de février 2014. Il n’en demeure pas moins qu’il est établi que l’apparition des atteintes à la santé est bien antérieure, puisqu’elle remonte à 2004 au moins. Il est vraisemblable que la fatigabilité consécutive aux atteintes psychiques conjuguées ait, à l’époque déjà, entraîné une incapacité de travail moindre, de 20%, qui, si elle ne légitimait pas le dépôt d’une demande de prestations auprès de l’intimé, justifiait en revanche que l’assurée diminuât son taux d’activité pour préserver sa capacité de travail résiduelle. Au vu de l’ensemble de ces éléments, la Cour de céans considère que l’on peut admettre, au degré de vraisemblance prépondérante requis, que la recourante, si son état de santé le lui avait permis, aurait travaillé à plein temps au-delà de l’année 2009. En d’autres termes, les griefs de la recourante relatifs à la qualification de son statut par l'intimé sont justifiés. Il convient de la considérer comme une personne active à 100%.</w:t>
      </w:r>
    </w:p>
    <w:p>
      <w:r>
        <w:rPr>
          <w:b/>
        </w:rPr>
        <w:t>E. 9</w:t>
      </w:r>
    </w:p>
    <w:p>
      <w:r>
        <w:t>Il faut à présent revenir sur la détermination du degré d'invalidité de la recourante en vertu de ce statut.</w:t>
      </w:r>
    </w:p>
    <w:p>
      <w:r>
        <w:rPr>
          <w:b/>
        </w:rPr>
        <w:t>E. 10</w:t>
      </w:r>
    </w:p>
    <w:p>
      <w:r>
        <w:t>En l'espèce, l’intimé a admis une incapacité de travail totale du 5 au 18 février 2014, date à compter de laquelle il a estimé que l’assurée avait recouvré une capacité de travail de 50% dans toute activité, ce qu’ont corroboré plusieurs médecins et experts. Aucun élément ne permet de s’écarter de leurs conclusions convergentes, lesquelles ne sont au demeurant contestées ni par l’intimé, ni par la recourante. Pour cette raison également, il n’est nul besoin de procéder en l’état à des investigations supplémentaires sous forme d’expertise. Le délai d’attente est venu à échéance le 5 mai 2015, mois durant lequel le degré d’invalidité a donc été de 50%, puisqu’il se confondait avec le taux de capacité de travail résiduelle théorique. À compter de juin 2015, l’assurée a travaillé à 60% de son 80%, ce qui correspond à un taux d’occupation de 48%, soit approximativement celui de la capacité de travail résiduelle reconnue par les médecins. Là encore, le degré d’invalidité se confond avec le taux de capacité résiduelle théorique de travail, soit 50%. À compter du 7 septembre 2015, l’assurée a repris son activité à 70% de son poste à 80%, ce qui correspond à un taux de 56%. Il est vraisemblable, au vu des constatations des spécialistes, que ce taux d’occupation est inapproprié et que la recourante travaille au-delà du raisonnable, ce qu’il faut mettre à son crédit. Il n’en demeure pas moins que la notion d’invalidité se définit comme une incapacité de gain totale ou partielle et qu’on ne saurait dès lors s’écarter de la perte de gain réellement subie par la recourante, soit, en l’occurrence, 44%. Dès lors, à compter de décembre 2015, elle aurait dû se voir reconnaître le droit à un quart de rente.</w:t>
      </w:r>
    </w:p>
    <w:p>
      <w:r>
        <w:t>A/1151/2017 - 14/15 - Eu égard aux considérations qui précèdent, le recours est partiellement admis et la décision litigieuse annulée.</w:t>
      </w:r>
    </w:p>
    <w:p>
      <w:r>
        <w:t>A/1151/2017 - 15/15 -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