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ATAS/1100/2017 vom 5. Dezember 2017</w:t>
      </w:r>
    </w:p>
    <w:p>
      <w:r>
        <w:t>GE Cour de justice, 2017-12-05, FR</w:t>
      </w:r>
    </w:p>
    <w:p>
      <w:r>
        <w:rPr>
          <w:b/>
        </w:rPr>
        <w:t xml:space="preserve">Quelle: </w:t>
      </w:r>
      <w:r>
        <w:t>https://mcp.opencaselaw.ch/entscheid/ge_gerichte_ATAS_1100_2017</w:t>
      </w:r>
    </w:p>
    <w:p>
      <w:r>
        <w:t>FR: GE_GERICHTE ATAS/1100/2017 du 5 décembre 2017</w:t>
      </w:r>
    </w:p>
    <w:p>
      <w:r>
        <w:t>IT: GE_GERICHTE ATAS/1100/2017 del 5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A/22/2017 - 8/18 -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des prestations de l’intimé au delà du</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La plupart des éventualités assurées (par exemple la maladie, l'accident, l'incapacité de travail, l'invalidité, l'atteinte à l'intégrité physique ou mentale) supposent</w:t>
      </w:r>
    </w:p>
    <w:p>
      <w:r>
        <w:t>A/22/2017 - 10/18 -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A/22/2017 - 11/18 -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A/22/2017 - 12/18 -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w:t>
      </w:r>
    </w:p>
    <w:p>
      <w:r>
        <w:t>A/22/2017 - 13/18 -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A/22/2017 - 14/18 - n. 10 p. 28 consid. 4b), la jurisprudence rendue sous l’empire de l’art. 4 aCst. étant toujours valable (ATF 124 V 90 consid. 4b, ATF 122 V 157 consid. 1d).</w:t>
      </w:r>
    </w:p>
    <w:p>
      <w:r>
        <w:rPr>
          <w:b/>
        </w:rPr>
        <w:t>E. 14</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w:t>
      </w:r>
    </w:p>
    <w:p>
      <w:r>
        <w:rPr>
          <w:b/>
        </w:rPr>
        <w:t>E. 17</w:t>
      </w:r>
    </w:p>
    <w:p>
      <w:r>
        <w:t>L’intimé requiert des modifications de la mission d’expertise. À cet égard, la chambre de céans constate que l’intimée ne démontre pas en quoi la notion de probabilité de plus de 50% ne correspondrait pas à la définition jurisprudentielle de la vraisemblance prépondérante, laquelle suppose que, d’un point de vue objectif, des motifs importants plaident pour l’exactitude d’une allégation, sans que d’autres possibilités ne revêtent une importance significative ou n’entrent raisonnablement en considération (ATF 139 V 176). Dans ce sens, le Tribunal fédéral a eu l’occasion de suivre les conclusions d’une expertise qui s’appuyait sur la notion de « vraisemblance prépondérante (&gt; 50 %) » (ATF du 1er mai 2017 8C_453/2016) ; par ailleurs, selon les lignes directrices pour l’expertise orthopédique (Swiss orthopaedics) de février 2017, « pour être reconnu par l’assurance sociale, un état</w:t>
      </w:r>
    </w:p>
    <w:p>
      <w:r>
        <w:t>A/22/2017 - 15/18 - de fait (par exemple l’imputabilité d’un trouble à un accident) doit être établi au moins avec une vraisemblance prépondérante. Une supposition ou une simple possibilité ne suffisent pas. - possibilité : vraisemblance inférieure à 50 % - vraisemblance prépondérante : (nettement) supérieure à 50 % - vraisemblance proche de la certitude : presque 100 % » (www. swissorthopaedics.ch) La notion de probabilité de plus de 50 % sera en conséquence maintenue dans la présente mission d’expertise. S’agissant des questions relatives aux limitations fonctionnelles, au traitement et au pronostic, elles seront maintenues dès lors qu’elles font partie de l’appréciation globale que l’expert doit mener dans le cadre de son évaluation. En revanche, celle concernant l’IPAI, prématurée, sera supprimée. Quant à la question 1 l 5, elle sera modifiée dans le sens voulu par l’intimée. Par ailleurs, il n’est pas utile de modifier la question 1 j dès lors qu’elle requiert de l’expert qu’il se prononce sur le lien de causalité de toutes les atteintes constatées, donc également celles postérieures au 1er octobre 2016. Il en est de même de la question 1 j 4 au vu des questions déjà existantes (1 j 3 et 1 j 4). Enfin, aucun motif ne permet de douter de la compétence du Dr K_______ de mener à bien l’expertise, de sorte que la demande de l’intimée visant à ce que l’expert collabore avec le DR L_______ sera écartée.</w:t>
      </w:r>
    </w:p>
    <w:p>
      <w:r>
        <w:t>A/22/2017 - 16/18 - PAR CES MOTIFS, LA CHAMBRE DES ASSURANCES SOCIALES : Statuant</w:t>
      </w:r>
    </w:p>
    <w:p>
      <w:r>
        <w:t>Préparatoirement : 1) Ordonne une expertise médicale. La confie au docteur K_______, FMH orthopédie, Centre de la main, Hôpital orthopédique, avenue Pierre Decker 4, 1005 Lausanne. Dit que la mission d’expertise sera la suivante : a. Prendre connaissance du dossier de la cause. b. Si nécessaire, prendre tous renseignements auprès des médecins ayant traité M. A_______. c. Examiner M. A_______. d. Etablir un rapport détaillé et répondre aux questions suivantes : e. Quelle est l’anamnèse détaillée du cas ? f. Quelles ont été les conséquences de l’accident du 17 mai 2016 ? En particulier celui-ci a-t-il entrainé une fracture de la styloïde radiale droite ? g. Quels sont les diagnostics ? h. Quelles sont les limitations fonctionnelles ? i. 1. Les atteintes à la santé constatées sont-elles en relation de causalité naturelle avec l’accident du 17 mai 2016 ? Plus précisément, le lien de causalité est-il seulement possible (moins de 50% dû à l’accident), probable (plus de 50% dû à l’accident) ou certain (100% dû à l’accident) ? 2. Veuillez motiver le lien de causalité naturelle pour chaque diagnostic posé. j. M. A_______ présentait-il de façon probable (probabilité de plus de 50%) un état préexistant à l’accident ? Si oui ; 1. Lequel ? 2. L’accident a-t-il décompensé cet état préexistant ? 3. Une symptomatologie due à l’état préexistant se serait-elle, même sans l’accident du 17 mai 2016, de toute façon manifestée ? Si oui, à quelle date ? 4. Si l’accident a décompensé un état préexistant, à quel moment le statu quo sine a-t-il été atteint (moment où l’état de santé de M. A_______ est similaire à celui qui serait survenu tôt ou tard, même sans l’accident du 17 mai 2016 par suite d’un développement ordinaire) ?</w:t>
      </w:r>
    </w:p>
    <w:p>
      <w:r>
        <w:t>A/22/2017 - 17/18 - A cet égard, êtes-vous d’accord avec la date du 17 août 2016 (soit trois mois après l’accident) retenue par le Dr F_______ dans son appréciation du 26 septembre 2016 ? Si non, pourquoi ? k. L’intervention du 10 novembre 2016 est-elle en lien (avec une probabilité de plus de 50 %) avec l’accident du 17 mai 2016 ? l. Veuillez-vous prononcer sur les avis suivants : 1. Etes-vous d’accord avec l’appréciation du Dr F_______ du 26 septembre 2016 ? En particulier avec l’affirmation que les lésions existantes au niveau du rachis distal sont en grande partie séquellaires de son ancien traumatisme traité et opéré en 2014 ? Si non, pourquoi ? 2. Etes-vous d’accord avec l’appréciation du Dr F_______ du 21 novembre 2016 ? En particulier avec la constatation d’une absence de décompensation définitive de l’état pathologique ancien et une situation stabilisée au 29 juin 2016 ? Si non, pourquoi ?</w:t>
      </w:r>
    </w:p>
    <w:p>
      <w:r>
        <w:t>3. Etes-vous d’accord avec l’avis du Dr H_______ du 1er novembre 2016 ? En particulier avec l’affirmation que même si la fracture n’est pas survenue sur un os sain, c’est la chute qui est clairement responsable de la fracture ? Si non, pourquoi ?</w:t>
      </w:r>
    </w:p>
    <w:p>
      <w:r>
        <w:t>4. Etes-vous d’accord avec l’avis du Dr H_______ du 16 juin 2017 ? Si non, pourquoi ?</w:t>
      </w:r>
    </w:p>
    <w:p>
      <w:r>
        <w:t>5. Etes-vous d’accord avec l’avis de la Dresse J_______ du 3 mars 2017 ? En particulier avec la constatation que l’intervention du 10 novembre 2016 n’avait pas pour objet des atteintes accidentelles puisque la fracture du radius distal à droite était consolidée trois mois après l’accident du 17 mai 2016 ? Si non, pourquoi ? m. Quel est le traitement prodigué ? Quel est le traitement encore nécessaire ? n. Quel est le pronostic ? o. L’atteinte à la santé entraîne-t-elle une atteinte à l’intégrité définitive ? Si oui, quel est le degré de l’indemnité pour atteinte à l’intégrité selon les tables de la SUVA concernant les atteintes à l’intégrité selon la LAA ci-jointes ? A cet égard, une détérioration prévisible de l’intégrité physique doit être indiquée et prise en compte dans l’estimation et seules les atteintes à la santé de M. A_______ en lien probable avec l’accident doivent être incluses dans le calcul du taux de l’indemnité pour atteinte à l’intégrité. II. Faire toutes autres observations ou suggestions utiles. III. Réserve le sort des frais jusqu’à droit jugé au fond.</w:t>
      </w:r>
    </w:p>
    <w:p>
      <w:r>
        <w:t>A/22/2017 - 18/18 -</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