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ATAS/1100/2014 vom 21. Oktober 2014</w:t>
      </w:r>
    </w:p>
    <w:p>
      <w:r>
        <w:t>GE Cour de justice, 2014-10-21, FR</w:t>
      </w:r>
    </w:p>
    <w:p>
      <w:r>
        <w:rPr>
          <w:b/>
        </w:rPr>
        <w:t xml:space="preserve">Quelle: </w:t>
      </w:r>
      <w:r>
        <w:t>https://mcp.opencaselaw.ch/entscheid/ge_gerichte_ATAS_1100_2014</w:t>
      </w:r>
    </w:p>
    <w:p>
      <w:r>
        <w:t>FR: GE_GERICHTE ATAS/1100/2014 du 21 octobre 2014</w:t>
      </w:r>
    </w:p>
    <w:p>
      <w:r>
        <w:t>IT: GE_GERICHTE ATAS/1100/2014 del 21 ottobre 2014</w:t>
      </w:r>
    </w:p>
    <w:p>
      <w:pPr>
        <w:pStyle w:val="Heading2"/>
      </w:pPr>
      <w:r>
        <w:t>Erwägungen</w:t>
      </w:r>
    </w:p>
    <w:p>
      <w:r>
        <w:rPr>
          <w:b/>
        </w:rPr>
        <w:t>E. 11</w:t>
      </w:r>
    </w:p>
    <w:p>
      <w:r>
        <w:t>juillet 2012, consid. 6.2). Ainsi, dans un arrêt récent, le TFA a estimé que c'était à tort que la juridiction cantonale avait admis l'existence d'un montant de 50'000 fr.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w:t>
      </w:r>
    </w:p>
    <w:p>
      <w:r>
        <w:rPr>
          <w:b/>
        </w:rPr>
        <w:t>E. 12</w:t>
      </w:r>
    </w:p>
    <w:p>
      <w:r>
        <w:t>Les dispositions applicables en matière de prestations complémentaires cantonales instaurent un régime similaire.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 On relèvera par ailleurs que la jurisprudence du TFA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w:t>
      </w:r>
    </w:p>
    <w:p>
      <w:r>
        <w:t>A/536/2014 - 14/15 -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w:t>
      </w:r>
    </w:p>
    <w:p>
      <w:r>
        <w:rPr>
          <w:b/>
        </w:rPr>
        <w:t>E. 13</w:t>
      </w:r>
    </w:p>
    <w:p>
      <w:r>
        <w:t>En l’espèce, le SPC a dans un premier temps retenu un montant à titre de bien dessaisi de CHF 50'505.20 (CHF 100'510.80 représentant les arriérés versés le 11 novembre 2013 – CHF 50'005.60 représentant la fortune au 31 décembre 2013) dès le 1er janvier 2014. Il a finalement admis que l'intéressé avait pu justifier de ses dépenses pour un montant de CHF 11'775.- et a ainsi fixé le montant des biens dessaisis à CHF 38'730.20. Il considère enfin que la fortune à prendre en compte dès le 1er février 2014 est de CHF 106'347.60 (CHF 50'005.60 + CHF 56'342.- représentant les arriérés versés le 11 février 2014). Il est vrai que selon le Tribunal fédéral, il ne saurait être question de reprocher à un assuré de dépenser sa fortune pour acquérir des biens de consommation ou pour améliorer son train de vie. Il s'agit en revanche d'empêcher cet assuré de se dessaisir de tout ou partie de ses biens au profit de tiers, sans obligation juridique et de manière à diminuer le revenu déterminant le droit aux prestations complémentaires et leur montant. On ne peut ainsi rien tirer de décisif des jugements dans lesquels le Tribunal fédéral admet la possibilité pour les bénéficiaires de prestations complémentaires de « vivre un peu mieux » pour les cas où l'argent a été dépensé sans contre-prestation. Le Tribunal fédéral a à cet égard insisté sur le fait que l'on ne peut renoncer à rechercher les causes d'une diminution de fortune, de sorte que l'on ne peut tenir compte de dépenses si celles-ci n'ont pas de justificatifs. Force est en conséquence de constater qu'en l'espèce, le SPC a, à bon droit, retenu le montant de CHF 38'730.20 à titre de bien dessaisi dès le 1er janvier 2014. S'agissant de la fortune à prendre en considération dès le 1er février 2014, le SPC l'a établie à CHF 106'347.60 (soit CHF 50'005.60 + CHF 56'342.-, représentant les arriérés versés le 11 février 2014). Aussi le recours est-il rejeté sur ce point.</w:t>
      </w:r>
    </w:p>
    <w:p>
      <w:r>
        <w:t>A/536/2014 - 15/15 - PAR CES MOTIFS, LA CHAMBRE DES ASSURANCES SOCIALES : Statuant A la forme : 1. Déclare le recours recevable. Au fond : 2. L’admet partiellement, en ce sens que le gain potentiel pour l’épouse, réduit de moitié, et tenant compte de la moitié des frais hypothétiques de garde, ne doit être pris en considération que lorsque le plus jeune des enfants est scolarisé, et renvoie la cause au SPC dans le sens des considérants pour nouveau calcul et nouvelle décision. 3. Le rejette pour le surplus. 4. Condamne l’intimé à verser au recourant la somme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