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ATAS/10/2024 vom 10. Januar 2024</w:t>
      </w:r>
    </w:p>
    <w:p>
      <w:r>
        <w:t>GE Cour de justice, 2024-01-10, FR</w:t>
      </w:r>
    </w:p>
    <w:p>
      <w:r>
        <w:rPr>
          <w:b/>
        </w:rPr>
        <w:t xml:space="preserve">Quelle: </w:t>
      </w:r>
      <w:r>
        <w:t>https://mcp.opencaselaw.ch/entscheid/ge_gerichte_ATAS_10_2024</w:t>
      </w:r>
    </w:p>
    <w:p>
      <w:r>
        <w:t>FR: GE_GERICHTE ATAS/10/2024 du 10 janvier 2024</w:t>
      </w:r>
    </w:p>
    <w:p>
      <w:r>
        <w:t>IT: GE_GERICHTE ATAS/10/2024 del 10 gennaio 2024</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w:t>
      </w:r>
    </w:p>
    <w:p>
      <w:r>
        <w:t>A/2300/2022 - 8/21 - La police d'assurance est soumise à la LCA, conformément à l'art. A9.1 des conditions générales d'assurance / Assurance de personnes Professional (CGA) de la défenderesse. La compétence de la chambre de céans à raison de la matière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étant précisé que l’art. 17 al. 1 CPC consacre la possibilité d’une élection de for écrite. En l’occurrence, selon l’art. A9.2 des conditions générales d’assurances (CGA), les tribunaux suisses ordinaires sont compétents pour juger les litiges relevant du contrat d’assurance. La prestation caractéristique visant le versement d’indemnités journalières, il s’agit d’une dette portable qui doit être exécutée au lieu du domicile de l’ayant droit. Ce dernier était domicilié à Genève, la chambre de céans est également compétente à raison du lieu.</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ATAS/590/2021 du 9 juin 2021 consid. 2), étant précisé que le législateur genevois a fait usage de cette possibilité (art. 134 al. 1 let. c LOJ). Pour le reste, la demande respecte les conditions formelles prescrites par les art. 130 et 244 CPC, ainsi que les autres conditions de recevabilité prévues par l’art. 59 CPC, de sorte qu’elle est recevable.</w:t>
      </w:r>
    </w:p>
    <w:p>
      <w:r>
        <w:rPr>
          <w:b/>
        </w:rPr>
        <w:t>E. 2</w:t>
      </w:r>
    </w:p>
    <w:p>
      <w:r>
        <w:t>Sur le plan matériel, 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d'assurance a été conclu avant le 1er janvier 2022 et l’objet du litige ne porte ni sur des prescriptions en matière de forme, ni sur le droit de résiliation au sens des art. 35a et 35b LCA. En outre, le litige porte sur le</w:t>
      </w:r>
    </w:p>
    <w:p>
      <w:r>
        <w:t>A/2300/2022 - 9/21 - point de savoir si le demandeur peut bénéficier d’indemnités journalières entre le 1er mars et le 31 août 2020. Ainsi, les modifications de la LCA du 19 juin 2020, entrées en vigueur le 1er janvier 2022 (RO 2020 4969 ; FF 2017 4767), ne sont pas applicables au présent litige de sorte que les dispositions de la LCA applicables seront citées dans leur ancienne teneur.</w:t>
      </w:r>
    </w:p>
    <w:p>
      <w:r>
        <w:rPr>
          <w:b/>
        </w:rPr>
        <w:t>E. 3</w:t>
      </w:r>
    </w:p>
    <w:p>
      <w:r>
        <w:t>Comme indiqué, le litige porte sur le droit éventuel du demandeur à des indemnités journalières du 1er mars au 31 août 2020, singulièrement sur la question de savoir si l’intéressé présentait une incapacité de travail de 100% pour cause de maladie durant cette période. Le cas échéant, il conviendra également de déterminer si dites indemnités doivent être octroyées sur la base d’un salaire à plein temps ou à 50%.</w:t>
      </w:r>
    </w:p>
    <w:p>
      <w:r>
        <w:rPr>
          <w:b/>
        </w:rPr>
        <w:t>E. 4.1</w:t>
      </w:r>
    </w:p>
    <w:p>
      <w:r>
        <w:t>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w:t>
      </w:r>
    </w:p>
    <w:p>
      <w:r>
        <w:t>A/2300/2022 - 13/21 -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4.2</w:t>
      </w:r>
    </w:p>
    <w:p>
      <w:r>
        <w:t>Le nouveau droit de la prescription est entré en vigueur le 1er janvier 2020. S'agissant du droit transitoire, le nouvel art. 49 du Titre final du CC a la teneur suivante: lorsque le nouveau droit prévoit des délais de prescription plus longs que l’ancien droit, le nouveau droit s’applique dès lors que la prescription n’est pas échue en vertu de l’ancien droit (al. 1). Lorsque le nouveau droit prévoit des délais de prescription plus courts que l’ancien droit, l’ancien droit s’applique (al. 2). L’entrée en vigueur du nouveau droit est sans effets sur le début des délais de prescription en cours, à moins que la loi n’en dispose autrement (al. 3). Au surplus, la prescription est régie par le nouveau droit dès son entrée en vigueur (al. 4). Selon l'art. 46 al. 1 1ère phrase LCA (dans sa teneur en vigueur jusqu'au 31 décembre 2021), les créances qui dérivent du contrat d’assurance se prescrivent par deux ans à dater du fait d’où naît l’obligation. Selon l'art. 46 al. 3 LCA, introduit par le ch. I de la LF du 19 juin 2020, en vigueur depuis le 1er janvier 2022 (RO 2020 4969), les créances qui découlent du contrat d’assurance collective d’indemnités journalières en cas de maladie se prescrivent par deux ans à compter de la survenance du fait duquel naît l’obligation. Selon la jurisprudence, le moment déterminant - le fait d'où naît l'obligation - est celui où sont réunis tous les éléments constitutifs fondant le devoir de prestation de l'assureur. Il ne s'agit donc pas nécessairement de la survenance du sinistre, même s'il s'agit de la cause première de l'obligation d'indemniser, une prétention ne pouvant être atteinte par la prescription que si elle a pris naissance. En outre, peu importe le moment où l'assuré en a eu connaissance, dès lors que le point de départ du délai de prescription est fixé de manière objective. Pour déterminer le « fait d'où naît l'obligation », soit le point de départ du délai de prescription, il faut donc analyser le contrat conclu par les parties pour en dégager tout d'abord le</w:t>
      </w:r>
    </w:p>
    <w:p>
      <w:r>
        <w:t>A/2300/2022 - 10/21 - risque assuré, puis les éléments constitutifs qui doivent être réunis pour que l'assureur ait l'obligation d'indemniser l'assuré en raison de ce risque (arrêt 4A_488/2017 du 9 octobre 2018 consid 4.1 et les références).</w:t>
      </w:r>
    </w:p>
    <w:p>
      <w:r>
        <w:rPr>
          <w:b/>
        </w:rPr>
        <w:t>E. 4.3</w:t>
      </w:r>
    </w:p>
    <w:p>
      <w:r>
        <w:t>En l'espèce, le risque assuré est une incapacité de travail de 25% au moins donnant droit au versement d'indemnités journalières durant 730 jours, à l'issue d'un délai d'attente de 30 jours par année civile (cf. police d’assurance et art. E9.1 et E9.2 des CGA). Il résulte des pièces au dossier, y compris de l’expertise du Dr E______ et de la décision AI, que le demandeur a présenté une incapacité de travail supérieure à 25% de manière ininterrompue dès le 4 juillet 2019. Bien qu’il n’ait par ailleurs pas atteint la limite de 730 indemnités journalières, la défenderesse a mis un terme au versement des indemnités journalières au 29 février 2020, invoquant une prétention frauduleuse. En définitive, le demandeur entendant faire valoir le paiement d’indemnités journalières pour l’incapacité de travail postérieure au 29 février 2020, le délai de prescription a couru dès le lendemain, soit le 1er mars 2020. Vu le délai de prescription de deux ans à compter de la survenance du fait duquel naît l’obligation, - prévu tant par l’ancien droit (art. 46 al. 1 aLCA) que par le nouveau (46 al. 3 LCA) -, ce délai venait à échéance le 1er mars 2022.</w:t>
      </w:r>
    </w:p>
    <w:p>
      <w:r>
        <w:rPr>
          <w:b/>
        </w:rPr>
        <w:t>E. 4.4</w:t>
      </w:r>
    </w:p>
    <w:p>
      <w:r>
        <w:t>Selon l'art. 135 ch. 2 CO, la prescription est interrompue lorsque le créancier fait valoir ses droits par des poursuites, par une requête de conciliation, par une action ou une exception devant un tribunal ou un tribunal arbitral ou par une intervention dans une faillite. Cette liste des actes interruptifs du créancier est exhaustive (Pascal PICHONNAZ, in Commentaire romand, Code des obligations I, 2021, n. 25 ad art. 135 CO).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ATF 114 II 336 consid. 3a; ATF 110 II 389 consid. 2a).</w:t>
      </w:r>
    </w:p>
    <w:p>
      <w:r>
        <w:rPr>
          <w:b/>
        </w:rPr>
        <w:t>E. 4.5</w:t>
      </w:r>
    </w:p>
    <w:p>
      <w:r>
        <w:t>D’après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L’art. 63 CPC a remplacé l’art. 139 aCO, qui s’appliquait par analogie aux délais de péremption (ATF 93 II 369/JdT 1968 I 162; 100 II 278 consid. 3; 109 III 49/JdT 1985 II 85, consid. 2c). Pour bénéficier de l'effet rétroactif de la litispendance prévu par cette disposition en cas d'incompétence, le demandeur doit réintroduire l'écriture qui avait été</w:t>
      </w:r>
    </w:p>
    <w:p>
      <w:r>
        <w:t>A/2300/2022 - 11/21 - initialement déposée et ce, en original et en temps utile, auprès de l'autorité qu'il tient pour compétente (ATF 145 III 428 consid. 3.2; ATF 141 III 481 consid. 3.2.4 p. 487). Cela vaut aussi lorsque le premier acte introduit consiste en une requête de conciliation remise à une autorité de conciliation matériellement incompétente, en tout cas lorsque la requête en question satisfaisait aux exigences d'une demande (ATF 145 III 428 consid. 3.5). Il convient d'admettre que l'incompétence visée par l'art. 63 al. 1 CPC englobe également le cas où la demande est déclarée irrecevable en raison du fait que l'autorisation de procéder a été délivrée par une autorité de conciliation incompétente, l'abus de droit étant naturellement réservé (ATF 146 III 265 consid. 5.7.2). Si une requête de conciliation a été déposée alors que la procédure de conciliation est exclue, le demandeur dispose d’un délai d’un mois pour réintroduire correctement sa demande, en vertu de l’art. 63 CPC (4A_39/2016 consid. 2 ; pour l’ancien droit, cf. ATF 89 II 304 consid. 6 p. 307 [action du droit civil] ; 130 III 515 consid. 5 p. 519 [action de la LP]). Dans un arrêt du 14 octobre 2015, le Tribunal fédéral a considéré que l'effet rétroactif de la litispendance de l'art. 63 CPC pouvait se produire plusieurs fois de suite, les cas d'abus de droit étant réservés (ATF 141 III 481 consid. 3).</w:t>
      </w:r>
    </w:p>
    <w:p>
      <w:r>
        <w:rPr>
          <w:b/>
        </w:rPr>
        <w:t>E. 4.6</w:t>
      </w:r>
    </w:p>
    <w:p>
      <w:r>
        <w:t>En l’espèce, le dépôt par l’assuré de sa requête en conciliation du 22 décembre 2020 auprès du Tribunal civil d’arrondissement de La Côte et celui auprès du Tribunal civil de Genève le 30 mars 2022 n’ont pas interrompu la prescription dans la mesure où il y a été procédé par-devant des juridictions incompétentes à raison du lieu ou de la matière. En revanche, dans la mesure où dans les deux cas de figure, l’intéressé a déposé contre la défenderesse une requête aux conclusions identiques, dans le mois ayant suivi la notification des jugements d’irrecevabilité rendus successivement par les tribunaux civils de La Côte et de Genève, l’instance est réputée créée à la date du premier dépôt en conciliation, soit le 22 décembre 2020 (art. 63 al. 1 CPC). Contrairement à ce qu’allègue la défenderesse, le fait que ces requêtes aient été déposées en conciliation alors qu’une telle conciliation n’était pas requise et qu’elles aient donné lieu à des autorisations de procéder invalides n’empêche pas l’application de l’art. 63 al. 1 CPC. La prescription n’est ainsi pas atteinte.</w:t>
      </w:r>
    </w:p>
    <w:p>
      <w:r>
        <w:rPr>
          <w:b/>
        </w:rPr>
        <w:t>E. 5.1</w:t>
      </w:r>
    </w:p>
    <w:p>
      <w:r>
        <w:t>La procédure simplifiée s'applique aux litiges portant sur des assurances complémentaires à l’assurance-maladie sociale au sens de la LAMal (art. 243 al. 2 let. f CPC). En outre, la maxime inquisitoire sociale est applicable (art. 247 CPC al. 2 let. a CPC ; ATF 141 III 569 consid. 2.3.1).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w:t>
      </w:r>
    </w:p>
    <w:p>
      <w:r>
        <w:t>A/2300/2022 - 12/21 -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vise à protéger le cocontractant faible, à garantir l'égalité entre parties et à favoriser le déroulement rapide de la procédure. Les parties restent tenues de soumettre au tribunal la trame factuelle sur laquelle portera son jugement. Le juge, en particulier lorsqu'il est confronté à des parties représentées par des avocats, n'a pas à investiguer dans les pièces pour tenter d'y trouver un argument favorable à celle qui les a produites. En présence de personnes assistées, il doit bien plutôt faire preuve de retenue, à l'instar de ce qui prévaut dans un procès ordinaire (ATF 141 III 569 consid. 2.3.1). La portée de la maxime inquisitoire sociale s'apprécie aussi en considération du principe de disposition ancré à l'art. 58 al. 1 CPC, véritable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(arrêt du Tribunal fédéral 4A_563/2019 du 14 juillet 2020 consid. 4.2 et les références, [consid. non publié aux ATF 146 III 339]).</w:t>
      </w:r>
    </w:p>
    <w:p>
      <w:r>
        <w:rPr>
          <w:b/>
        </w:rPr>
        <w:t>E. 5.2</w:t>
      </w:r>
    </w:p>
    <w:p>
      <w:r>
        <w:t>Lorsque la maxime inquisitoire sociale trouve application, le juge n’est en revanche pas lié par les allégations et les offres de preuve des parties (ATF 142 III 402 consid. 2.1 ; ATF 139 III 457 consid. 4.4.3.2). Des allégués et offres de preuve peuvent être produits par les parties jusqu’aux délibérations en application de l’art. 229 al. 3 CPC (ATF 142 III 402 consid. 2.1).</w:t>
      </w:r>
    </w:p>
    <w:p>
      <w:r>
        <w:rPr>
          <w:b/>
        </w:rPr>
        <w:t>E. 5.3</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w:t>
      </w:r>
    </w:p>
    <w:p>
      <w:r>
        <w:rPr>
          <w:b/>
        </w:rPr>
        <w:t>E. 5.3.1</w:t>
      </w:r>
    </w:p>
    <w:p>
      <w:r>
        <w:t>En l’espèce, les parties, représentées par des professionnels du droit, n’ayant pas requis de mesures d’instruction particulières, la cause doit donc être tranchée sur la base des allégués et pièces produits à la procédure jusqu’aux délibérations, sans que la chambre de céans ne soit strictement liée par les déterminations des parties ou la formulation précise des allégations.</w:t>
      </w:r>
    </w:p>
    <w:p>
      <w:r>
        <w:rPr>
          <w:b/>
        </w:rPr>
        <w:t>E. 6.1</w:t>
      </w:r>
    </w:p>
    <w:p>
      <w:r>
        <w:t>En vertu de l’art. 8 du code civil suisse du 10 décembre 1907 (CC - RS 210), chaque partie doit, si la loi ne prescrit le contraire, prouver les faits qu'elle allègue pour en déduire son droit. En tant que règle sur le fardeau de la preuve, cette disposition ne s'applique que si le juge, à l'issue de l'appréciation des preuves, ne parvient pas à se forger une conviction dans un sens positif ou négatif (ATF 132 III 626 consid. 3.4 et ATF 128 III 271 consid. 2b/aa). Autrement dit, l’article 8 CC ne règle pas stricto sensu la question de savoir qui doit prouver un fait mais bien plutôt quelle partie porte la conséquence de l’absence de preuve quant à un fait particulier (ATF 143 III 1 consid. 4.1 ; ATF 141 III 241 consid. 3 ; ATF 127 III 519 consid. 2a ; arrêt du Tribunal fédéral 4A_555/2019 du 28 août 2020 consid. 4.2). La maxime inquisitoire sociale ne modifie pas la répartition du fardeau de la preuve (arrêt du Tribunal fédéral 4C.140/2006 du 14 août 2006 consid. 3.1 ; arrêt du Tribunal fédéral 4C.185/2003 du 14 octobre 2003 consid. 2.1 ; ATAS/1177/2021 du 15 novembre 2021 consid. 10.1.1).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 ATAS/1220/2021 du 30 novembre 2021 consid. 7.2 ; ATAS/1222/2021 du 29 novembre 2021 consid. 12.2).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w:t>
      </w:r>
    </w:p>
    <w:p>
      <w:r>
        <w:t>A/2300/2022 - 14/21 -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w:t>
      </w:r>
    </w:p>
    <w:p>
      <w:r>
        <w:rPr>
          <w:b/>
        </w:rPr>
        <w:t>E. 6.2</w:t>
      </w:r>
    </w:p>
    <w:p>
      <w:r>
        <w:t>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6.3</w:t>
      </w:r>
    </w:p>
    <w:p>
      <w:r>
        <w:t>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t>A/2300/2022 - 15/21 - Cette précision de jurisprudence concerne le droit matériel et est donc directement applicable (ATF 146 I 105 consid. 5.2.1 ; 140 IV 154 consid. 5.2.1), y compris au présent litige.</w:t>
      </w:r>
    </w:p>
    <w:p>
      <w:r>
        <w:rPr>
          <w:b/>
        </w:rPr>
        <w:t>E. 7.1</w:t>
      </w:r>
    </w:p>
    <w:p>
      <w:r>
        <w:t>Aux termes de l’art. 168 al. 1 CPC, les moyens de preuve sont le témoignage (let. a) ; les titres (let. b) ; l’inspection (let. c) ; l’expertise (let. d) ; les renseignements écrits (let. e) ; l’interrogatoire et la déposition de partie (let. f).</w:t>
      </w:r>
    </w:p>
    <w:p>
      <w:r>
        <w:rPr>
          <w:b/>
        </w:rPr>
        <w:t>E. 7.2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w:t>
      </w:r>
    </w:p>
    <w:p>
      <w:r>
        <w:rPr>
          <w:b/>
        </w:rPr>
        <w:t>E. 7.2.1</w:t>
      </w:r>
    </w:p>
    <w:p>
      <w:r>
        <w:t>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7.2.2</w:t>
      </w:r>
    </w:p>
    <w:p>
      <w:r>
        <w:t>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w:t>
      </w:r>
    </w:p>
    <w:p>
      <w:r>
        <w:t>A/2300/2022 - 16/21 - (ATF 110 Ib 52 consid. 2 ; arrêt du Tribunal fédéral 4D_8/2008 du 31 mars 2008 consid. 3.2.1).</w:t>
      </w:r>
    </w:p>
    <w:p>
      <w:r>
        <w:rPr>
          <w:b/>
        </w:rPr>
        <w:t>E. 7.2.3</w:t>
      </w:r>
    </w:p>
    <w:p>
      <w:r>
        <w:t>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Les déclarations orales d'un expert privé entendu comme témoin ne sauraient conférer une valeur de preuve aux allégations contenues dans son rapport (arrêt du Tribunal fédéral 5D_59/2018 du 31 août 2018 consid. 4.2.3 et les références).</w:t>
      </w:r>
    </w:p>
    <w:p>
      <w:r>
        <w:rPr>
          <w:b/>
        </w:rPr>
        <w:t>E. 7.2.4</w:t>
      </w:r>
    </w:p>
    <w:p>
      <w:r>
        <w:t>En ce qui concerne les rapports des médecins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2021 consid. 7.1).</w:t>
      </w:r>
    </w:p>
    <w:p>
      <w:r>
        <w:rPr>
          <w:b/>
        </w:rPr>
        <w:t>E. 8</w:t>
      </w:r>
    </w:p>
    <w:p>
      <w:r>
        <w:t>En l’espèce, les parties ayant centré l’essentiel de leurs écritures sur la problématique du taux d’activité contractuel du demandeur, elles ont peu développé leurs allégués relatifs à l’évolution de la capacité de travail. Le demandeur allègue que sa capacité de travail était nulle du 4 juillet au 20 octobre 2019, de 30% du 21 octobre au 17 novembre 2019, de 50% du 18 novembre au 31 décembre 2019 et à nouveau nulle dès le 1er janvier 2020. Ces taux correspondent à ceux attestés par ses psychiatres traitants (pièce 6, 120, 129, 130 et 132) et retenus par l’OAI dans le cadre de l’examen du droit à la rente. De fait, si cette évolution de la capacité de travail semble formellement contestée par la défenderesse dans son mémoire réponse, celle-ci n’explique aucunement sa position. Elle se contente ainsi d’indiquer qu’un psychiatre de son service médical à qui elle avait soumis le dossier de l’intéressé avait indiqué, le 8 novembre 2019, que l’évolution naturelle de la pathologie devait conduire à une capacité de travail complète dès le 1er février 2020 (pièce 130) et que l’expertise privée qu’elle avait confiée au Dr E______, concluait en date du 23 mars 2020, sur la base d’un pronostic « prudemment optimiste », qu’une capacité de travail de 40% serait récupérée à partir de mi-juin 2020, puis 70% dès la mi-juillet et enfin 100% dès la</w:t>
      </w:r>
    </w:p>
    <w:p>
      <w:r>
        <w:t>A/2300/2022 - 17/21 - mi-août 2020 (pièce 131). Il n’existerait, toujours selon la défenderesse, pas d’avis médical divergent. Force est pourtant de constater que l’expertise privée du Dr E______, établie alors que la défenderesse avait déjà interrompu le versement des indemnités journalières, confirme entièrement les allégués du demandeur relatifs à sa capacité de travail, vu qu’elle la considère également nulle au jour de l’expertise. Le fait que l’expert privé pose un pronostic qu’il qualifie de « prudemment optimiste » de reprise partielle à une échéance de près de trois mois ne remet pas en doute l’appréciation des psychiatres du demandeur. C’est d’autant moins le cas que, pour le surplus, l’expert privé partage les appréciations de ces derniers jusqu’au jour de l’expertise. Au vu de ces éléments, il ne saurait être déduit quoi que ce soit d’un tel pronostic, à moyen terme. C’est d’autant moins le cas qu’il n’a jamais donné lieu par la suite à une réévaluation de la situation médicale afin de vérifier sa concrétisation, contrairement à ce qui est préconisé par les lignes directrices de qualité des expertises de psychiatrie d'assurance éditées par la Société suisse de psychiatrie et psychothérapie (3ème édition, 16 juin 2016). La chambre de céans considère ainsi que l’incapacité de travail totale du demandeur durant la période litigieuse, soit du 1er mars au 31 août 2020, est établie au degré de la preuve stricte sur la base des éléments précités. Si comme la défenderesse l’allègue, « il n’existe pas d’élément médical divergent » à l’expertise privée du Dr E______, celle-ci ne remet nullement en cause l’incapacité de travail totale attestée par les psychiatres traitants et retenue par l’OAI, mais au contraire la confirme.</w:t>
      </w:r>
    </w:p>
    <w:p>
      <w:r>
        <w:rPr>
          <w:b/>
        </w:rPr>
        <w:t>E. 9.1</w:t>
      </w:r>
    </w:p>
    <w:p>
      <w:r>
        <w:t>Reste à examiner l’argument principal soulevé par la défenderesse afin de justifier le non versement des indemnités journalières au demandeur au-delà du 28 février 2020, à savoir l’absence de dommage. En effet, elle soutient, en substance, qu’il « n’existe pas d’élément probant permettant de conclure à un engagement à temps plein du demandeur quatre jours seulement avant le début de son incapacité complète de travail, respectivement au versement d’un salaire en lien avec un tel taux d’activité professionnelle » et que les « éléments récoltés dans le cadre de l’instruction sont évocateurs d’une tentative visant à obtenir des prétentions frauduleuses ». Il est établi et non contesté que le demandeur a initialement été engagé à 50% à partir du 1er mars 2019 sur la base du contrat de travail signé le 2 février 2019 (pièce 1). Sa prise d’emploi à 50% a finalement été reportée au 6 mai 2019 par l’employeur en raison des travaux de rénovation en cours dans le restaurant (pièce 2). À teneur d’un courrier du 20 juin 2019 signé par M. G______ (directeur de l’employeur), il était confirmé que, comme discuté quelques jours auparavant, le contrat de travail du demandeur était modifié comme suit : passage à plein</w:t>
      </w:r>
    </w:p>
    <w:p>
      <w:r>
        <w:t>A/2300/2022 - 18/21 - temps dès le 1er juillet 2019 en contrepartie d’un salaire de CHF 5'000.- versé treize fois l’an (pièce 3). C’est la réalité de cette modification de contrat que la défenderesse remet en cause, essentiellement du fait qu’elle considère suspect, d’une part que le demandeur se soit retrouvé en arrêt de travail complet et durable quatre jours seulement après la date alléguée d’augmentation du taux de travail et d’autre part qu’il n’existerait pas de preuves de paiement de cette augmentation par l’employeur.</w:t>
      </w:r>
    </w:p>
    <w:p>
      <w:r>
        <w:rPr>
          <w:b/>
        </w:rPr>
        <w:t>E. 9.2</w:t>
      </w:r>
    </w:p>
    <w:p>
      <w:r>
        <w:t>La chambre de céans rappelle tout d’abord que tant la conclusion du contrat de travail que sa modification ne sont soumises à aucune forme spéciale. Formellement, le courrier du 20 juin 2019, dont le contenu est par ailleurs dénué de toute ambiguïté, est parfaitement valable. La raison de l’augmentation du taux d’activité est en outre expliquée de manière concordante, crédible et constante tant par l’employeur que le demandeur, qui ont indiqué à réitérées reprises que cette modification a fait suite au départ de l’un des associés de l’employeur, spécialement en charge de la gestion du restaurant. Quoi qu’en dise la défenderesse, les fiches de salaire (annexes à la pièce 114), reflètent bien l’augmentation du taux d’activité et font état, à partir de juillet 2019, d’un salaire mensuel brut de CHF 5'000.-. Il appert également que l’employeur a déduit des charges sociales sur l’entier de cette somme, ce que la défenderesse ne semble pas contester. S’il est exact que les traces bancaires font uniquement état de paiements partiels des salaires dus pour les mois de juillet, août et septembre, il n’en demeure pas moins que les fiches de salaire précisent que le solde dû pour chacune de ces périodes a été payé en cash, contre signature, quelques jours ou semaines plus tard. Les fiches de salaire des mois concernés, envoyées directement par l’employeur à la défenderesse (et que le demandeur ne peut donc avoir modifiées), portent ainsi systématiquement une mention indiquant à quelle date le solde a été versé et la signature du bénéficiaire. En outre, il ressort des avis de taxation produits que le demandeur a déclaré des salaires correspondant à un 100% dès juillet 2019. Contrairement à ce que semble soutenir la défenderesse, ce procédé n’apparaît pas suspect, ce d’autant moins dans le secteur de la restauration et au vu des problèmes de liquidités du restaurant tels que rappelés par le demandeur notamment lors de sa comparution personnelle. Dans ces circonstances, il n’est pas surprenant qu’une partie du salaire puisse être payée en cash et en retard par l’employeur contre signature. Il est en particulier inexact de considérer que seul la preuve d’un virement bancaire permettrait de démontrer la réalité d’un paiement. Un reçu signé par le travailleur figurant sur une fiche de salaire émise par l’employeur peut également constituer une telle preuve.</w:t>
      </w:r>
    </w:p>
    <w:p>
      <w:r>
        <w:t>A/2300/2022 - 19/21 - La défenderesse se contente d’ailleurs d’indiquer que ces fiches de salaire auraient été établies pour les besoins de la cause, sans pour autant circonstancier son argument. Elle n’a pas déposé de plainte pénale. Elle a même renoncé à solliciter la restitution des prestations qu’elle allègue avoir versées sur la base de faits qui, fussent-ils avérés, s’apparenteraient à une fraude. Elle n’a par ailleurs sollicité aucune mesure d’instruction permettant de remettre en doute l’authenticité des documents produits, soit notamment la lettre de modification du contrat de travail et/ou les fiches de salaire. Enfin, sans que cela ne soit décisif, il sied de relever que l’OAI a retenu au terme de son instruction que le taux d’activité du demandeur au début de l’incapacité était bien de 100%. Dans ces circonstances, la chambre de céans considère qu’il n’y a aucune raison de remettre en question le taux d’occupation de 100% tel qu’il ressort du courrier du 20 juin 2019 et des fiches de salaire subséquentes.</w:t>
      </w:r>
    </w:p>
    <w:p>
      <w:r>
        <w:rPr>
          <w:b/>
        </w:rPr>
        <w:t>E. 9.3</w:t>
      </w:r>
    </w:p>
    <w:p>
      <w:r>
        <w:t>Au vu de ce qui précède, il est établi au degré de la preuve stricte que le demandeur était en incapacité de travail à 100% entre le 1er mars et le 31 août 2020. Dans la mesure où il était engagé à temps complet par son employeur durant cette période et où il n’avait pas épuisé l’intégralité de son droit à 730 indemnités journalières sa demande doit être admise. La défenderesse devra ainsi lui verser la somme de CHF 26'503.35, correspondant à 184 indemnités de CHF 144.04.</w:t>
      </w:r>
    </w:p>
    <w:p>
      <w:r>
        <w:rPr>
          <w:b/>
        </w:rPr>
        <w:t>E. 9.4</w:t>
      </w:r>
    </w:p>
    <w:p>
      <w:r>
        <w:t>Le demandeur conclut également au versement d’intérêts sur ce montant à hauteur de 5% l’an dès le 1er juin 2020, valeur médiane.</w:t>
      </w:r>
    </w:p>
    <w:p>
      <w:r>
        <w:rPr>
          <w:b/>
        </w:rPr>
        <w:t>E. 9.4.1</w:t>
      </w:r>
    </w:p>
    <w:p>
      <w:r>
        <w:t>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 13 janvier 2020 consid. 4.1 ;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 Jürg NEF, in Basler Kommentar, Bundesgesetz über den Versicherungsvertrag, 2001, n° 15 ad art. 41 LCA).</w:t>
      </w:r>
    </w:p>
    <w:p>
      <w:r>
        <w:t>A/2300/2022 - 20/21 -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 3.5 ; 4A_206/2007 du 29 octobre 2007 consid. 6.3 ; 5C.18/2006 du 18 octobre 2006 consid. 6.1 in fine ; cf. NEF, op. cit., n° 20 in fine ad art. 41 LCA, et GROLIMUND/VILLARD,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 18 décembre 2019).</w:t>
      </w:r>
    </w:p>
    <w:p>
      <w:r>
        <w:rPr>
          <w:b/>
        </w:rPr>
        <w:t>E. 9.4.2</w:t>
      </w:r>
    </w:p>
    <w:p>
      <w:r>
        <w:t>En l'espèce, les CGA ne prévoient aucun terme pour l'exigibilité des prestations qui y sont stipulées. Par ailleurs, comme vu précédemment, la défenderesse a refusé de verser ses prestations au-delà du 29 février 2020 et instruit le cas essentiellement sous l'angle de la prétention frauduleuse, n'estimant plus nécessaire d'instruire le volet médical. Au plus tard à réception des courriers du demandeur (pièce 113) et de son employeur (pièce 114), tous deux datés du 25 mai 2020 et reçus au plus tard le 27 mai 2020 (pièce 115), la défenderesse disposait de tous les éléments démontrant le droit aux prestations. Vu qu’elle a persisté à tort de verser dites prestations au-delà de cette date, les prestations contractuelles étaient échues quatre semaines plus tard, soit au 24 juin 2020, date à laquelle elles sont également devenues exigibles, sans mise en demeure. Les intérêts sont ainsi dus à partir du 24 juin 2020.</w:t>
      </w:r>
    </w:p>
    <w:p>
      <w:r>
        <w:rPr>
          <w:b/>
        </w:rPr>
        <w:t>E. 10</w:t>
      </w:r>
    </w:p>
    <w:p>
      <w:r>
        <w:t>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Le demandeur, représenté par un conseil, obtenant gain de cause, la défenderesse est condamnée à lui verser une indemnité de CHF 4'500.- à titre de dépens, TVA et débours inclus (art. 106 al. 1 CPC; art. 20 à 26 de la loi d'application du code civil suisse et d’autres lois fédérales en matière civile du 11 octobre 2012 [LaCC - E 1 05] ; art. 84 et 85 du RTFMC). Pour le surplus, la procédure est gratuite (art. 114 let. e CPC).</w:t>
      </w:r>
    </w:p>
    <w:p>
      <w:r>
        <w:t>A/2300/2022 - 21/21 -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