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ATAS/10/2016 vom 11. Januar 2016</w:t>
      </w:r>
    </w:p>
    <w:p>
      <w:r>
        <w:t>GE Cour de justice, 2016-01-11, FR</w:t>
      </w:r>
    </w:p>
    <w:p>
      <w:r>
        <w:rPr>
          <w:b/>
        </w:rPr>
        <w:t xml:space="preserve">Quelle: </w:t>
      </w:r>
      <w:r>
        <w:t>https://mcp.opencaselaw.ch/entscheid/ge_gerichte_ATAS_10_2016</w:t>
      </w:r>
    </w:p>
    <w:p>
      <w:r>
        <w:t>FR: GE_GERICHTE ATAS/10/2016 du 11 janvier 2016</w:t>
      </w:r>
    </w:p>
    <w:p>
      <w:r>
        <w:t>IT: GE_GERICHTE ATAS/10/2016 del 11 gennaio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w:t>
      </w:r>
    </w:p>
    <w:p>
      <w:r>
        <w:t>A/4140/2015 - 4/7 -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w:t>
      </w:r>
    </w:p>
    <w:p>
      <w:r>
        <w:t>A/4140/2015 - 5/7 -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jugement de divorce rendu le 10 septembre 2015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4</w:t>
      </w:r>
    </w:p>
    <w:p>
      <w:r>
        <w:t>En l’espèce, le juge français a ordonné le versement par la demanderesse au demandeur d’un montant de CHF 23'917.- en application de la convention conclue par les parties, qui prévoit uniquement le partage par moitié des avoirs de prévoyance acquis pendant la durée du mariage par la demanderesse, compte tenu du fait que le demandeur n’a pas cotisé pendant la durée du mariage. Le juge français a dès lors appliqué la règle ordinaire de partage. La convention conclue par les époux et ratifiée par le juge français est conforme au droit suisse et n'a pas non plus besoin d'être complétée (art. 64 LDIP). Qui plus est,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w:t>
      </w:r>
    </w:p>
    <w:p>
      <w:r>
        <w:t>A/4140/2015 - 6/7 -</w:t>
      </w:r>
    </w:p>
    <w:p>
      <w:r>
        <w:rPr>
          <w:b/>
        </w:rPr>
        <w:t>E. 5</w:t>
      </w:r>
    </w:p>
    <w:p>
      <w:r>
        <w:t>En conséquence, le Fonds de prévoyance Nestlé sera invité à verser, du compte de la demanderesse, le montant de CHF 23'917.- à la Fondation de libre passage Rendita sur le compte du demandeur.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A/4140/2015 - 7/7 -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