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ATAS/10/2015 vom 5. Januar 2015</w:t>
      </w:r>
    </w:p>
    <w:p>
      <w:r>
        <w:t>GE Cour de justice, 2015-01-05, FR</w:t>
      </w:r>
    </w:p>
    <w:p>
      <w:r>
        <w:rPr>
          <w:b/>
        </w:rPr>
        <w:t xml:space="preserve">Quelle: </w:t>
      </w:r>
      <w:r>
        <w:t>https://mcp.opencaselaw.ch/entscheid/ge_gerichte_ATAS_10_2015</w:t>
      </w:r>
    </w:p>
    <w:p>
      <w:r>
        <w:t>FR: GE_GERICHTE ATAS/10/2015 du 5 janvier 2015</w:t>
      </w:r>
    </w:p>
    <w:p>
      <w:r>
        <w:t>IT: GE_GERICHTE ATAS/10/2015 del 5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(art. 56 ss LPGA), le présent recours est recevable.</w:t>
      </w:r>
    </w:p>
    <w:p>
      <w:r>
        <w:t>A/2111/2014 - 13/19 -</w:t>
      </w:r>
    </w:p>
    <w:p>
      <w:r>
        <w:rPr>
          <w:b/>
        </w:rPr>
        <w:t>E. 4</w:t>
      </w:r>
    </w:p>
    <w:p>
      <w:r>
        <w:t>Le litige porte sur le droit de la recourante à obtenir un vélo électrique à trois roues à titre de moyen auxiliaire.</w:t>
      </w:r>
    </w:p>
    <w:p>
      <w:r>
        <w:rPr>
          <w:b/>
        </w:rPr>
        <w:t>E. 5</w:t>
      </w:r>
    </w:p>
    <w:p>
      <w:r>
        <w:t>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w:t>
      </w:r>
    </w:p>
    <w:p>
      <w:r>
        <w:rPr>
          <w:b/>
        </w:rPr>
        <w:t>E. 6</w:t>
      </w:r>
    </w:p>
    <w:p>
      <w:r>
        <w:t>A l'art. 14 du règlement du 17 janvier 1961 sur l'assurance-invalidité (RAI;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L’art. 2 OMAI prévoit qu’ont droit aux moyens auxiliaires, dans les limites fixées, par la liste en annexe, les assurés qui en ont besoin pour se déplacer, établir des</w:t>
      </w:r>
    </w:p>
    <w:p>
      <w:r>
        <w:t>A/2111/2014 - 14/19 -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figurant à l’annexe de l’OMAI contient notamment les fauteuils roulants sans moteur (chiffre 9.01) ; les fauteuils roulants électriques (chiffre 9.02) pour les assurés qui ne peuvent utiliser un fauteuil roulant usuel et ne peuvent se déplacer seuls qu'au moyen d'un fauteuil roulant mû électriquement. La remise a lieu sous forme de prêt. Le chiffre 10 de la liste concerne les véhicules à moteur et véhicules d’invalides destinés aux assurés qui, exerçant d'une manière probablement durable une activité leur permettant de couvrir leurs besoins, ne peuvent se passer d'un véhicule à moteur personnel pour se rendre à leur travail. La liste contient les cyclomoteurs à deux, trois ou quatre roues (chiffre 10.01*), l'indemnité d'amortissement annuelle s'élevant à 480 francs pour les cyclomoteurs à deux roues et à 2500 francs pour les cyclomoteurs à trois ou quatre roues ; les motocycles légers et motocycles (chiffre 10.02*), pour lesquels l'indemnité d'amortissement annuelle s'élève à 750 francs ; les voitures automobiles (chiffre 10.04*) pour lesquelles l'indemnité d'amortissement annuelle s'élève à 3000 francs. La contribution versée pour une ouverture de porte de garage automatique se monte à 1500 francs ; et les transformations de véhicules à moteur nécessitées par l'invalidité (chiffre 10.05). S’agissant des fauteuils roulants, selon la Circulaire concernant la remise des moyens auxiliaires par l’assurance-invalidité (CMAI) éditée par l’Office fédéral des assurances sociales dans sa version en vigueur dès le 1er janvier 2013, la remise d’un fauteuil roulant doit se justifier sur le plan médical (formulaire « Indications médicales pour la remise d’un fauteuil roulant »). La proposition du médecin concernant le genre de fauteuil roulant ne constitue qu’une recommandation. Le choix définitif de la catégorie de fauteuil roulant doit être motivé par le fournisseur. En cas de doute, un centre spécialisé neutre (FSCMA) est chargé d’éclaircir la situation (chiffre 2073 CMAI). En règle générale, le droit ne s’étend qu’à un seul fauteuil roulant. La nécessité d’un second fauteuil roulant doit être fondée de manière détaillée (chiffre 2075). Dans des cas spéciaux, d’autres moyens auxiliaires</w:t>
      </w:r>
    </w:p>
    <w:p>
      <w:r>
        <w:t>A/2111/2014 - 15/19 - servant au déplacement peuvent être remis à la place d’un fauteuil roulant (par ex. pousse-pousse pour enfants invalides, siège coque avec support/châssis). Tricycle, tandem, siège de vélo pour coéquipier et équipement similaire peuvent être octroyés dans des cas exceptionnels dûment motivés à la place d’un second fauteuil roulant (chiffre 2080). Lorsque le montant final, selon le devis, dépasse 15 000 francs pour les fauteuils roulants électriques et 9000 francs pour les scooters, le résultat de la demande faite auprès du dépôt AI, daté, estampillé et signé, doit figurer clairement dans le dossier de l’office AI (chiffre 2081). On soulignera que le Tribunal fédéral a admis la conformité au droit du chiffre 2075 de la circulaire (SVR 1996 IV n° 81 consid. 3a). En ce qui concerne les véhicules à moteur visés au chiffre 10 de l’annexe à l’OMAI, la circulaire précise que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(chiffre 2087*). Au cas où, dans la même situation (par ex. endroit isolé sans transports publics, collaborateur du service extérieur), une personne non invalide devrait aussi avoir recours à un véhicule à moteur, l’AI ne prend pas les frais en charge (chiffre 2088*).</w:t>
      </w:r>
    </w:p>
    <w:p>
      <w:r>
        <w:rPr>
          <w:b/>
        </w:rPr>
        <w:t>E. 7</w:t>
      </w:r>
    </w:p>
    <w:p>
      <w:r>
        <w:t>En l’espèce, il n’est pas contesté par les parties que le vélo à propulsion électrique litigieux ne figure pas dans la liste des moyens auxiliaires. Or, cette liste est exhaustive (ATF 124 V 12 consid. 1). Le législateur a laissé au Département fédéral de l’intérieur un large pouvoir d'appréciation pour établir la liste des moyens auxiliaires. Ce dernier peut indiquer quels genres d'installations et d'appareils sont considérés, au sens de l'assurance, comme des moyens auxiliaires. Ainsi, le Département fédéral de l'intérieur peut, dans le cadre de l'interdiction de l'arbitraire, faire un choix et limiter le nombre des moyens auxiliaires (ATF 126 V 70 consid. 4b/aa). En revanche, il faut examiner pour chaque catégorie si l’énumération des divers moyens auxiliaires faisant partie de cette catégorie est également exhaustive ou simplement indicative (ATF 121 V 258 consid. 2b). Le Tribunal fédéral a eu l’occasion de rappeler que les vélos ou bicyclettes ne sont pas énumérés dans la liste en annexe à l'OMAI et qu’un vélo adapté – dans le cas d’espèce au moyen d’une modification des freins – ne pouvait être assimilé à un fauteuil roulant électrique ou à un cyclomoteur à deux roues (arrêt du Tribunal fédéral I 566/03 du 1er juin 2004 consid. 4.3 et 4.6). Il est vrai que le vélo à trois roues dont la recourante sollicite la prise en charge est doté d’un dispositif de propulsion électrique. On peut dès lors se demander si la jurisprudence précitée s’applique également dans un tel cas ou si ce moyen auxiliaire doit, comme le suggère la FSCMA, être assimilé à un scooter – lequel est pris en charge au même titre que les fauteuils roulants électriques visés au chiffre 9.02 OMAI, comme cela ressort implicitement du chiffre 2081 CMAI. En effet, le droit à la substitution permet à l'assuré qui a opté pour un moyen auxiliaire dont le coût n'incombe</w:t>
      </w:r>
    </w:p>
    <w:p>
      <w:r>
        <w:t>A/2111/2014 - 16/19 -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(ATF 131 V 167 consid. 5.1). Cette question peut cependant rester ouverte en l’espèce, dès lors que les conditions du droit à un fauteuil roulant électrique ne sont pas réalisées. En effet, il n’est pas contesté que la recourante est autonome dans ses déplacements et qu’elle est en mesure de marcher. La décision de l’intimé s’avère ainsi fondée, s’agissant du refus de prendre en charge le vélo à trois roues à titre de moyen auxiliaire au sens du chiffre 9.02.</w:t>
      </w:r>
    </w:p>
    <w:p>
      <w:r>
        <w:rPr>
          <w:b/>
        </w:rPr>
        <w:t>E. 8</w:t>
      </w:r>
    </w:p>
    <w:p>
      <w:r>
        <w:t>La recourante fait également valoir que ce vélo pourrait lui être remis en application des dispositions de l’annexe régissant les véhicules à moteur ou véhicules d’invalides prévus au chiffre 10 de l’annexe à l’OMAI. Force est cependant de constater que la recourante ne remplit pas les conditions d’octroi des moyens auxiliaires énumérés sous chiffres 10.01* à 10.04*, dès lors qu’elle n’exerce pour l’heure pas d’activité lucrative et que le vélo n’est donc pas nécessaire pour se rendre au travail. La recourante conclut de manière subsidiaire à la prise en charge de mesures d’adaptation sur un vélo ordinaire en se fondant sur le chiffre 10.05 de l’annexe concernant les transformations des véhicules à moteur nécessitées par l’invalidité. S’agissant de cette rubrique de la liste, l’exigence d’une activité lucrative et de la nécessité d’un véhicule à moteur pour se rendre au travail a été abrogée au 1er janvier 1993. L’objectif de cette modification était d’étendre le but de la réadaptation à d'autres aspects de la vie sociale des invalides, en particulier la faculté de se déplacer (art. 21 al. 2 LAI ; ATF 121 V 258 consid. 3a). La recourante a toutefois déjà bénéficié de la prise en charge des transformations de sa voiture rendues nécessaires par son atteinte en février 2011. Même à supposer qu’un vélo – ordinaire ou électrique – puisse être comparé à un véhicule à moteur, elle ne saurait prétendre à l’adaptation d’un deuxième moyen auxiliaire. En effet, selon le principe de la proportionnalité qui sous-tend les art. 8 et 21 LAI, l'assuré n'a droit qu'aux mesures de réadaptation nécessaires propres à atteindre le but visé. La loi veut, en effet, assurer la réadaptation seulement dans la mesure où elle est nécessaire et suffisante dans le cas particulier. En outre, il doit exister un rapport raisonnable entre le coût et l'utilité du moyen auxiliaire (arrêt du Tribunal fédéral 9C_54/2010 du 19 octobre 2010 consid. 4). Or, le volet orthopédique de l’expertise médicale – qu’aucun motif ne justifierait la remise en cause – et les déclarations même de la recourante concourent à démontrer qu’elle est en mesure de se déplacer de manière autonome. Cet aspect de la réadaptation est ainsi atteint par les moyens auxiliaires déjà mis à sa disposition, ce qui exclut une intervention supplémentaire de l’OAI.</w:t>
      </w:r>
    </w:p>
    <w:p>
      <w:r>
        <w:t>A/2111/2014 - 17/19 - La recourante a certes allégué que le vélo électrique lui permettrait d’accompagner sa fille sur des distances difficiles à parcourir à pied « pour lesquelles la voiture est peu adaptée ». On voit cependant mal quels trajets ne seraient pas praticables en automobile mais seulement à vélo. Il semble en réalité que la recourante sollicite l’octroi d’un vélo électrique avant tout pour pratiquer cette activité avec ses proches. Or, si son souhait de disposer d’une alternative à la voiture et de pouvoir s’adonner à la bicyclette en famille est en soi parfaitement compréhensible, c’est ici le lieu de rappeler que l’assurance-invalidité n’a pas pour vocation d'assurer les mesures qui sont les meilleures dans le cas particulier, mais seulement celles qui sont nécessaires et propres à atteindre le but visé (arrêt du Tribunal fédéral 9C_265/2012 du 12 octobre 2012 consid. 4.2) A titre d’exemple, un tricycle servant au développement de l’activité corporelle et non pas à la motricité ou à un autre but de réadaptation selon l’art. 21 LAI ne peut pas être considéré comme un moyen auxiliaire (RCC 1989 p. 43 consid. 2b). Au demeurant, on ajoutera que la personne assurée et son entourage ont également le devoir d'aménager, dans la mesure du possible, l'exercice de leurs relations de manière à solliciter le moins possible des prestations d’assurance (arrêt du Tribunal fédéral 8C_315/2008 du 3 juin 2009 consid. 3.4.3). Cette obligation s’étend également aux loisirs pratiqués. Eu égard à ce qui précède, la prise en charge du moyen auxiliaire ne peut se fonder sur le chiffre 10 de l’annexe à l’OMAI.</w:t>
      </w:r>
    </w:p>
    <w:p>
      <w:r>
        <w:rPr>
          <w:b/>
        </w:rPr>
        <w:t>E. 9</w:t>
      </w:r>
    </w:p>
    <w:p>
      <w:r>
        <w:t>La recourante fait grief à l’intimé de s’être écarté sans motivation de l’appréciation de la FSCMA. Le devoir de motiver une décision découle du droit d’être entendu et a pour but de permettre au justiciable de connaître les fondements de la décision afin de pouvoir la contester (ATF 135 V 65,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consid. 3d/aa). Si l’on peut regretter que l’intimé n’ait pas indiqué pour quels motifs il ne retenait pas l’avis de la FSCMA, une éventuelle violation du droit d’être entendu devrait en l’espèce être considérée comme réparée eu égard au plein pouvoir de cognition de la Cour de céans. Pour le surplus, la recourante se réfère au principe selon lequel le juge ne s'écarte en principe pas des conclusions d'une expertise médicale judiciaire sans motifs impératifs, telles des contradictions dans l'expertise ou les opinions contraires d'autres spécialistes aptes à mettre en doute la pertinence des déductions de l'expert (ATF 125 V 351 consid. 3b/aa). Outre le fait qu’il ne s’agit pas en l’espèce d’une expertise médicale, il est patent que le rapport du 5 mars 2014 de la FSCMA était erroné sur plusieurs points, notamment s’agissant de l’autonomie de la recourante dans ses déplacements – ce que cette dernière a d’ailleurs elle-même souligné dans son recours. Les difficultés retenues par le</w:t>
      </w:r>
    </w:p>
    <w:p>
      <w:r>
        <w:t>A/2111/2014 - 18/19 - collaborateur de la FSCMA, sur lesquelles se fonde sa recommandation de prise en charge, sont infirmées par l’autonomie dans les déplacements que les autres intervenants s’accordent tous à rapporter. Cette contradiction justifie ainsi que l’on s’écarte du rapport de la FSCMA. La recourante affirme enfin que l’évolution technologique doit être prise en compte lors de l’octroi de moyens auxiliaires. Le Tribunal fédéral a certes rappelé ce principe, ajoutant que ce qui apparaissait il y a une dizaine d'années comme un simple élément de confort peut aujourd'hui faire partie d'un standard commun (arrêt du Tribunal fédéral 9C_744/2010 du 6 janvier 2011 consid. 3). Cette exigence porte cependant sur l’appréciation du caractère simple d’un modèle de moyen auxiliaire donné, et non sur les catégories de moyens auxiliaires à mettre à disposition des assurés invalides, dont la délimitation incombe au Département fédéral de l’intérieur, comme on l’a vu.</w:t>
      </w:r>
    </w:p>
    <w:p>
      <w:r>
        <w:rPr>
          <w:b/>
        </w:rPr>
        <w:t>E. 10</w:t>
      </w:r>
    </w:p>
    <w:p>
      <w:r>
        <w:t>Eu égard aux éléments qui précèdent, la décision de l’intimé s’avère conforme au droit. Le recours doit dès lors être rejeté. La recourante, qui succombe, n’a pas droit à des dépens (art. 61 let. g LPGA). La procédure n’étant pas gratuite en assurance-invalidité, la recourante supporte l’émolument de procédure de CHF 200.- (art. 69 al. 1bis LAI).</w:t>
      </w:r>
    </w:p>
    <w:p>
      <w:r>
        <w:t>A/2111/2014 - 19/19 -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