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ATAS/109/2026 vom 11. Februar 2026</w:t>
      </w:r>
    </w:p>
    <w:p>
      <w:r>
        <w:t>GE Cour de justice, 2026-02-11, FR</w:t>
      </w:r>
    </w:p>
    <w:p>
      <w:r>
        <w:rPr>
          <w:b/>
        </w:rPr>
        <w:t xml:space="preserve">Quelle: </w:t>
      </w:r>
      <w:r>
        <w:t>https://mcp.opencaselaw.ch/entscheid/ge_gerichte_ATAS_109_2026</w:t>
      </w:r>
    </w:p>
    <w:p>
      <w:r>
        <w:t>FR: GE_GERICHTE ATAS/109/2026 du 11 février 2026</w:t>
      </w:r>
    </w:p>
    <w:p>
      <w:r>
        <w:t>IT: GE_GERICHTE ATAS/109/2026 del 11 febbraio 2026</w:t>
      </w:r>
    </w:p>
    <w:p>
      <w:pPr>
        <w:pStyle w:val="Heading2"/>
      </w:pPr>
      <w:r>
        <w:t>Erwägungen</w:t>
      </w:r>
    </w:p>
    <w:p>
      <w:r>
        <w:rPr>
          <w:b/>
        </w:rPr>
        <w:t>E. 1</w:t>
      </w:r>
    </w:p>
    <w:p>
      <w:r>
        <w:t>Le litige porte sur le droit de la recourante à une rente d’invalidité de plus d’une demi-rente dès le 1er août 2017.</w:t>
      </w:r>
    </w:p>
    <w:p>
      <w:r>
        <w:rPr>
          <w:b/>
        </w:rPr>
        <w:t>E. 2</w:t>
      </w:r>
    </w:p>
    <w:p>
      <w:r>
        <w:t>A/1114/2021 - 12/19 -</w:t>
      </w:r>
    </w:p>
    <w:p>
      <w:r>
        <w:rPr>
          <w:b/>
        </w:rPr>
        <w:t>E. 2.1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2.2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En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w:t>
      </w:r>
    </w:p>
    <w:p>
      <w:r>
        <w:t>A/1114/2021 - 13/19 -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(ATF 143 V 409 consid. 4.5 ; 143 V 418 consid. 6 et 7).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2.3</w:t>
      </w:r>
    </w:p>
    <w:p>
      <w:r>
        <w:t>L'évaluation des syndromes sans pathogenèse ni étiologie claire et sans constat de déficit organique ne fait pas l'objet d'un consensus médical (arrêt du Tribunal fédéral 9C_619/2012 du 9 juillet 2013 consid. 4.1). La reconnaissance de l'existence de troubles somatoformes douloureux persistants suppose d'abord la présence d'un diagnostic émanant d'un expert (psychiatre) et s'appuyant lege artis sur les critères d'un système de classification reconnu (ATF 130 V 396 consid. 5.3). Les principes jurisprudentiels développés en matière de troubles somatoformes douloureux sont également applicables à la fibromyalgie (ATF 132 V 65 consid. 4.1). Dans un arrêt du 3 juin 2015 (ATF 141 V 281), le Tribunal fédéral a jugé que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w:t>
      </w:r>
    </w:p>
    <w:p>
      <w:r>
        <w:rPr>
          <w:b/>
        </w:rPr>
        <w:t>E. 2.4</w:t>
      </w:r>
    </w:p>
    <w:p>
      <w:r>
        <w:t>Le Tribunal fédéral a développé dans sa jurisprudence relative à l’établissement de la capacité de travail exigible des personnes souffrant d’une symptomatologie douloureuse sans substrat organique les indicateurs suivants, qui s’appliquent également pour déterminer la capacité de travail exigible des personnes souffrant de troubles psychiques.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w:t>
      </w:r>
    </w:p>
    <w:p>
      <w:r>
        <w:t>A/1114/2021 - 14/19 - limitations fonctionnelles causées par cette atteinte de celles dues à des facteurs non assurés.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Si des difficultés sociales ont directement des conséquences fonctionnelles négatives, elles ne doivent pas être prises en considération. En revanche, le contexte de vie de l’assuré peut lui procurer des ressources mobilisables, par exemple par le biais de son réseau social. Il faut s’assurer qu’une incapacité de travail pour des raisons de santé ne se confond pas avec le chômage non assuré ou avec d’autres difficultés de vie.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Il faut examiner ensuite la mesure dans laquelle les traitements sont mis à profit ou alors négligés, pour évaluer le poids effectif des souffrances. Tel n’est toutefois pas</w:t>
      </w:r>
    </w:p>
    <w:p>
      <w:r>
        <w:t>A/1114/2021 - 15/19 -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Le juge vérifie librement si l’expert médical a exclusivement tenu compte des déficits fonctionnels résultant de l’atteinte à la santé et si son évaluation de l’exigibilité repose sur une base objective.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 arrêt du Tribunal fédéral 8C_841/2016 du 30 novembre 2017 consid. 4.5.2).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 décrites et le comportement observé, l'allégation d'intenses difficultés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131 V 49 consid. 1.2).</w:t>
      </w:r>
    </w:p>
    <w:p>
      <w:r>
        <w:rPr>
          <w:b/>
        </w:rPr>
        <w:t>E. 3</w:t>
      </w:r>
    </w:p>
    <w:p>
      <w:r>
        <w:t>Dit que la mission d’expertise sera la suivante : a) prendre connaissance du dossier de la cause ; b) si nécessaire, prendre tous renseignements auprès des médecins ayant traité l’assurée ; c) examiner et entendre l’assurée, après s’être entouré de tous les éléments utiles, au besoin d’avis d’autres spécialistes ; d) si nécessaire, ordonner d’autres examens.</w:t>
      </w:r>
    </w:p>
    <w:p>
      <w:r>
        <w:rPr>
          <w:b/>
        </w:rPr>
        <w:t>E. 4</w:t>
      </w:r>
    </w:p>
    <w:p>
      <w:r>
        <w:t>Charge l’expert d’établir un rapport détaillé et de répondre aux questions suivantes : a) Anamnèse détaillée. b) Plaintes et données subjectives de l’expertisée. c) Status clinique et constatations objectives. d) Description d’une journée-type. e) Diagnostics selon la classification internationale. Précisez quels critères de classification sont remplis et de quelle manière (notamment l’étiologie et la pathogénèse). f) Depuis quand les différentes atteintes sont-elles présentes ? g) Quel est le degré de gravité de chacun des troubles diagnostiqués (faible, moyen, grave) ? h) Les plaintes sont-elles objectivées ? i) Existe-t-il un trouble de la personnalité ou une altération des capacités inhérentes à la personnalité ? j)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l’assurée). k) Y a-t-il exagération des symptômes ou constellation semblable (discordance substantielle entre les douleurs décrites et le comportement observé ou l’anamnèse, allégation d'intenses douleurs dont les</w:t>
      </w:r>
    </w:p>
    <w:p>
      <w:r>
        <w:t>A/1114/2021 - 17/19 - caractéristiques demeurent vagues, absence de demande de soins médicaux, plaintes très démonstratives laissant insensible l'expert, allégation de lourds handicaps malgré un environnement psychosocial intact) ? Dans l’affirmative, considérez-vous que cela suffise à exclure une atteinte à la santé significative ? l) Les troubles psychiques constatés nécessitent-ils une prise en charge spécialisée ? m) Quels ont été les traitements entrepris et avec quel succès (évolution et résultats des thérapies) ? n) L’assurée a-t-elle fait preuve de résistance à l’égard des traitements proposés ? La compliance est-elle bonne ? o) Dans quelle mesure les traitements ont-ils été mis à profit ou négligés ? p) Effectuer un dosage sanguin des psychotropes et des antidouleurs, afin d’évaluer la compliance et/ou la biodisponibilité. q) Pour le cas où il y aurait refus ou mauvaise acceptation d’une thérapie recommandée et accessible : cette attitude doit-elle être attribuée à une incapacité de l’assurée à reconnaître sa maladie ? r)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 s) De quelles ressources mobilisables internes et externes l’assurée dispose-t-elle ? t) Quel est le contexte social ? L’assurée peut-elle compter sur le soutien de ses proches ? u) Les limitations du niveau d’activité sont-elles uniformes dans tous les domaines (professionnel mais aussi personnel) ? Quel est le niveau d’activité sociale et comment a-t-il évolué depuis la survenance de l’atteinte à la santé ? v) Dans l’ensemble, le comportement de l’expertisée vous semble-t-il cohérent ? Pourquoi ? w) Mentionner, pour chaque diagnostic posé, les limitations fonctionnelles qu’il entraîne  dans l’activité habituelle,  dans une activité adaptée.</w:t>
      </w:r>
    </w:p>
    <w:p>
      <w:r>
        <w:t>A/1114/2021 - 18/19 - x) Mentionner globalement les conséquences des divers diagnostics retenus sur la capacité de travail de l’assurée, en pourcent, en particulier pendant la période faisant l’objet du litige, soit du 22 février 2017 (date de la demande de prestation) au 23 février 2021 (date de la décision de l’OAI) :  dans l’activité habituelle,  dans une activité adaptée. y) Dater la survenance de l’incapacité de travail durable, le cas échéant, indiquer l'évolution de son taux et décrire son évolution. z) Évaluer l'exigibilité, en pourcent, d'une activité lucrative adaptée, indiquer depuis quand une telle activité est exigible et quel est le domaine d'activité adapté. aa) Dire s'il y a une diminution de rendement et la chiffrer. bb) Évaluer la possibilité d'améliorer la capacité de travail par des mesures médicales. Indiquer quelles seraient les propositions thérapeutiques et leur influence sur la capacité de travail. cc) Indiquer si des mesures de réadaptation professionnelles sont envisageables. dd) Formuler un pronostic global.</w:t>
      </w:r>
    </w:p>
    <w:p>
      <w:r>
        <w:rPr>
          <w:b/>
        </w:rPr>
        <w:t>E. 5</w:t>
      </w:r>
    </w:p>
    <w:p>
      <w:r>
        <w:t>a) Êtes-vous d'accord avec les conclusions du Dr J______ (rapport du 12 juillet 2023) ? Indiquer pour quelles raisons cet avis est confirmé ou écarté. b) Êtes-vous d'accord avec les conclusions du Dr F______ (rapport du 17 juin 2019) ? Indiquer pour quelles raisons cet avis est confirmé ou écarté. c) Êtes-vous d'accord avec les conclusions du Dr P______ (rapports des</w:t>
      </w:r>
    </w:p>
    <w:p>
      <w:r>
        <w:rPr>
          <w:b/>
        </w:rPr>
        <w:t>E. 9</w:t>
      </w:r>
    </w:p>
    <w:p>
      <w:r>
        <w:t>Réserve le fond.</w:t>
      </w:r>
    </w:p>
    <w:p>
      <w:r>
        <w:t>La greffière</w:t>
      </w:r>
    </w:p>
    <w:p>
      <w:r>
        <w:t>Janeth WEPF</w:t>
      </w:r>
    </w:p>
    <w:p>
      <w:r>
        <w:t>La présidente</w:t>
      </w:r>
    </w:p>
    <w:p>
      <w:r>
        <w:t>Catherine TAPPONNIER</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