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ATAS/109/2015 vom 10. Februar 2015</w:t>
      </w:r>
    </w:p>
    <w:p>
      <w:r>
        <w:t>GE Cour de justice, 2015-02-10, FR</w:t>
      </w:r>
    </w:p>
    <w:p>
      <w:r>
        <w:rPr>
          <w:b/>
        </w:rPr>
        <w:t xml:space="preserve">Quelle: </w:t>
      </w:r>
      <w:r>
        <w:t>https://mcp.opencaselaw.ch/entscheid/ge_gerichte_ATAS_109_2015</w:t>
      </w:r>
    </w:p>
    <w:p>
      <w:r>
        <w:t>FR: GE_GERICHTE ATAS/109/2015 du 10 février 2015</w:t>
      </w:r>
    </w:p>
    <w:p>
      <w:r>
        <w:t>IT: GE_GERICHTE ATAS/109/2015 del 10 febbraio 2015</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les faits juridiquement pertinents remontent à 2009. Par conséquent le droit éventuel aux prestations doit être examiné au regard des dispositions de la LPGA et des dispositions de la LAI consécutives à la 5ème révision de cette loi, puis dès le 1er janvier 2012, en fonction des modifications consécutives à la révision 6a de cette loi, dans la mesure de leur pertinence (ATF 130 V 445 et les références; voir également ATF 130 V 329).</w:t>
      </w:r>
    </w:p>
    <w:p>
      <w:r>
        <w:rPr>
          <w:b/>
        </w:rPr>
        <w:t>E. 4</w:t>
      </w:r>
    </w:p>
    <w:p>
      <w:r>
        <w:t>Le délai de recours est de 30 jours. Interjeté dans la forme et le délai prévus par la loi, le recours est recevable (art. 56 à 61 LPGA).</w:t>
      </w:r>
    </w:p>
    <w:p>
      <w:r>
        <w:rPr>
          <w:b/>
        </w:rPr>
        <w:t>E. 5</w:t>
      </w:r>
    </w:p>
    <w:p>
      <w:r>
        <w:t>Le litige porte sur le droit du recourant à une rente d’invalidité et à de nouvelles mesures de réadaptation, singulièrement de reclassement.</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A/3775/2013 - 15/21 -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a. L’assuré a droit à une rente lorsqu’il a présenté une incapacité de travail (art. 6 LPGA) d’au moins 40% en moyenne durant une année sans interruption notable et qu’au terme de cette année, il est invalide (art. 8 LPGA) à 40% au moins (cf. art. 28 al. 1 let. b et c LAI, dans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w:t>
      </w:r>
    </w:p>
    <w:p>
      <w:r>
        <w:t>A/3775/2013 - 16/21 -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A/3775/2013 - 17/21 -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A/3775/2013 - 18/21 - c.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w:t>
      </w:r>
    </w:p>
    <w:p>
      <w:r>
        <w:rPr>
          <w:b/>
        </w:rPr>
        <w:t>E. 9</w:t>
      </w:r>
    </w:p>
    <w:p>
      <w:r>
        <w:t>a. Afin de se prononcer sur le droit éventuel du recourant à une rente d’invalidité et à de nouvelles mesures de réadaptation, il convient en premier lieu de déterminer sa capacité de travail. L’intimé a fait siennes les conclusions du SMR, fondées sur les expertises des Drs I______, G______ et K______, selon lesquelles le recourant a été totalement incapable de travailler dès le 28 avril 2009, mais disposerait depuis le 1er octobre 2009 d’une capacité de travail de 50% dans une activité adaptée de petite serrurerie (sans port de charges) et de 100% comme surveillant de chantier, préposé à la sécurité des chantiers ou conseiller en vente. Le recourant conteste l’expertise du Dr I______ et soutient que celle-ci, antérieure de plus de trois ans à la décision querellée, ne tient pas compte de l’aggravation de son état de santé, de sorte qu’une expertise médicale judiciaire se justifie. Il se prévaut d’une incapacité de travail totale, certifiée à plusieurs reprises par le Dr L______ depuis octobre 2012. Dans son rapport du 21 novembre 2013, ce médecin expose que la reprise du travail sans aménagement d’une activité adaptée a aggravé la situation et abouti au développement, dès fin 2011, d’un syndrome douloureux chronique et d’un état dépressif réactionnel. Dès lors, il sied d’examiner la valeur probante des rapports d’expertises rhumatologiques et psychiatriques des Drs G______, I______, et K______. b. Sur le plan rhumatologique, la chambre de céans a déjà jugé que l’expertise du Dr G______, bien que répondant à certains réquisits jurisprudentiels, n’était pas</w:t>
      </w:r>
    </w:p>
    <w:p>
      <w:r>
        <w:t>A/3775/2013 - 19/21 - probante dans son appréciation de la capacité de travail en raison de ses conclusions confuses (cf. ATAS/761/2013 du 29 juillet 2013, consid. 7). Il n’y a pas lieu de s’écarter sur ce point de la jurisprudence susmentionnée. c. S’agissant de l’expertise du Dr I______, il est surprenant que celle-ci ne discute pas du rapport des EPI du 19 mars 2010 alors que ce document est précisément à l’origine de sa mise en œuvre. Les EPI concluaient à la présence de limitations somatiques importantes et proposaient une réévaluation ultérieure de l’assuré. On peine au demeurant à comprendre la pleine capacité de travail retenue, dans la mesure où le Dr I______ fait état d’une diminution de rendement dont il dit avoir tenu compte dans son appréciation. En outre, bien qu’une activité de serrurier, même adaptée, ait été totalement exclue par la Dresse H______ en raison de limitations fonctionnelles et d’un risque clair d’invalidité (cf. rapport du 4 février 2010), l’expert rhumatologue mentionne une capacité de travail résiduelle de 50% dans la petite serrurerie, sans motiver sa conclusion ni exposer les motifs sur lesquels il se fonde pour s’écarter du SMR, auquel il ne fait jamais référence. Enfin, l’expert atteste d’une pleine capacité de travail dans toute activité adaptée aux limitations fonctionnelles mais omet de préciser la date à compter de laquelle une telle activité serait exigible Partant, la chambre de céans estime que les conclusions du Dr I______, fondées sur une anamnèse incomplète, ne sont pas suffisamment motivées et convaincantes pour qu’une pleine valeur probante puisse leur être reconnue. d. En revanche, sur le plan psychiatrique, la chambre de céans constate que l’expertise du Dr K______ est conforme aux réquisits jurisprudentiels relatifs à la valeur probante. Celle-ci repose en effet sur une anamnèse détaillée effectuée en connaissance du dossier médical, sur les plaintes de l’assuré et des examens cliniques complets. Ses diagnostics sont clairs et ses conclusions motivées. Celles- ci sont également dépourvues de contradictions. Le recourant n’invoque aucun argument concret permettant de mettre en doute la valeur probante du rapport du Dr K______. Il ne met notamment pas en exergue d’élément objectif ignoré par l’expert ni de contradictions intrinsèques. Il n’y a ainsi pas lieu de s’écarter des conclusions de ce rapport, attestant sur le plan psychiatrique d’une pleine capacité de travail jusqu’au 23 novembre 2010, date de l’expertise.</w:t>
      </w:r>
    </w:p>
    <w:p>
      <w:r>
        <w:rPr>
          <w:b/>
        </w:rPr>
        <w:t>E. 10</w:t>
      </w:r>
    </w:p>
    <w:p>
      <w:r>
        <w:t>L’assuré allègue que la décision litigieuse ne tient pas compte d’une péjoration de son état de santé. La chambre de céans constate que la question d’une éventuelle aggravation de l’état de santé intervenue entre l’expertise psychiatrique de novembre 2010 et la décision litigieuse d’octobre 2013 n’est pas en l’état d’être jugée, faute d’avoir été suffisamment élucidée. En effet, le Dr L______ mentionne depuis janvier 2011 des neuropathies de la main droite et depuis fin 2011, un syndrome douloureux chronique ainsi que d’un état dépressif réactionnel, ce qui l’a conduit à prescrire un</w:t>
      </w:r>
    </w:p>
    <w:p>
      <w:r>
        <w:t>A/3775/2013 - 20/21 - traitement antidépresseur. Il a également attesté d’une incapacité de travail de 50% dès décembre 2011 et de 100% depuis octobre 2012. Cette éventuelle aggravation de l’état de santé n’a pas été instruite par l’intimé, motif pris qu’elle n’était corroborée par aucun élément objectif. Cependant, la chambre de céans estime qu’elle ne saurait être écartée d’emblée, attendu que les diagnostics de syndrome douloureux chronique et de neuropathies sont postérieurs aux expertises ordonnées par l’OAI et n’ont pas du tout été discutés par les experts.</w:t>
      </w:r>
    </w:p>
    <w:p>
      <w:r>
        <w:rPr>
          <w:b/>
        </w:rPr>
        <w:t>E. 11</w:t>
      </w:r>
    </w:p>
    <w:p>
      <w:r>
        <w:t>Comme l’intimé a fondé sa décision essentiellement sur des expertises rhumatologiques ne bénéficiant pas d’une pleine valeur probante et qu’il n’a de surcroît pas instruit la question de l’éventuelle aggravation intervenue depuis l’expertise du Dr K______, un renvoi du dossier pour instruction complémentaire se justifie, étant rappelé qu’il n’appartient pas au juge de suppléer aux carences administratives. Dite instruction sera mise en œuvre par une nouvelle expertise en rhumatologie et psychiatrie selon la procédure prévue à l’art. 44 LPGA. Il conviendra que les experts se prononcent sur l’état de santé du recourant, sa capacité de travail et l’évolution de celle-ci.</w:t>
      </w:r>
    </w:p>
    <w:p>
      <w:r>
        <w:rPr>
          <w:b/>
        </w:rPr>
        <w:t>E. 12</w:t>
      </w:r>
    </w:p>
    <w:p>
      <w:r>
        <w:t>Au vu de ce renvoi et dans la mesure où l’instruction entreprise par l’intimé est incomplète, il n’y a pas lieu d’ordonner une expertise judiciaire, ni de suspendre la procédure jusqu’à réception d’un éventuel rapport d’expertise privée. Si le recourant entend se prémunir d’un tel rapport, il lui sera loisible de le faire dans le cadre de l’instruction complémentaire qui sera mise sur pied par l’intimé.</w:t>
      </w:r>
    </w:p>
    <w:p>
      <w:r>
        <w:rPr>
          <w:b/>
        </w:rPr>
        <w:t>E. 13</w:t>
      </w:r>
    </w:p>
    <w:p>
      <w:r>
        <w:t>Vu ce qui précède, le recours est partiellement admis, la décision litigieuse annulée et la cause renvoyée à l’intimé, à charge pour celui-ci de mettre en œuvre l’expertise précitée selon la procédure prévue par l’art. 44 LPGA puis de rendre une nouvelle décision portant sur le droit à de nouvelles mesures de réadaptation, singulièrement de reclassement, et à une rente. Le recourant, représenté par un conseil, obtient partiellement gain de cause, de sorte qu’il a droit à une indemnité à titre de participation à ses frais et dépens, que la chambre de céans fixe en l’occurrence à CHF 2'000.- (art. 61 let. g LPGA ; art. 89H al. 3 de la loi sur la procédure administrative du 12 septembre 1985 - LPA ; RS E 5 10 ; art. 6 du règlement sur les frais, émoluments et indemnités en procédure administrative du 30 juillet 1986 - RFPA ; RS E 5 10.03). La procédure de recours en matière de contestation portant sur l’octroi ou le refus de prestations de l’assurance-invalidité étant soumise à des frais de justice, un émolument de CHF 200.- est mis à charge de l’intimé (art. 69 al. 1 bis LAI).</w:t>
      </w:r>
    </w:p>
    <w:p>
      <w:r>
        <w:t>A/3775/2013 - 21/21 -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