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ATAS/1099/2011 vom 22. November 2011</w:t>
      </w:r>
    </w:p>
    <w:p>
      <w:r>
        <w:t>GE Cour de justice, 2011-11-22, FR</w:t>
      </w:r>
    </w:p>
    <w:p>
      <w:r>
        <w:rPr>
          <w:b/>
        </w:rPr>
        <w:t xml:space="preserve">Quelle: </w:t>
      </w:r>
      <w:r>
        <w:t>https://mcp.opencaselaw.ch/entscheid/ge_gerichte_ATAS_1099_2011</w:t>
      </w:r>
    </w:p>
    <w:p>
      <w:r>
        <w:t>FR: GE_GERICHTE ATAS/1099/2011 du 22 novembre 2011</w:t>
      </w:r>
    </w:p>
    <w:p>
      <w:r>
        <w:t>IT: GE_GERICHTE ATAS/1099/2011 del 22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Interjeté dans les forme et délai prévus par la loi (art. 56ss LPGA), le présent recours est recevable.</w:t>
      </w:r>
    </w:p>
    <w:p>
      <w:r>
        <w:rPr>
          <w:b/>
        </w:rPr>
        <w:t>E. 4</w:t>
      </w:r>
    </w:p>
    <w:p>
      <w:r>
        <w:t>Le litige porte sur le droit de l’assurée à une rente d’invalidité, singulièrement sur son degré d’invalidité.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w:t>
      </w:r>
    </w:p>
    <w:p>
      <w:r>
        <w:t>A/2575/2011 - 13/20 - (MEYER-BLASER, Bundesgesetz über die Invalidenversicherung, Zurich 1997, p. 8).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Oktober 2000, 2ème éd., Zurich 2009, n. 72 ad art. 61).</w:t>
      </w:r>
    </w:p>
    <w:p>
      <w:r>
        <w:rPr>
          <w:b/>
        </w:rPr>
        <w:t>E. 7</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w:t>
      </w:r>
    </w:p>
    <w:p>
      <w:r>
        <w:t>A/2575/2011 - 15/20 -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ATF 128 V 174).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si 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 I 168/05 du 24 avril 2006, consid. 3.3; ATF B 80/01 du 17 octobre 2003, consid. 5.2.2). c) Le Tribunal fédéral a précisé que lors de la détermination du revenu d'invalide, il convient généralement de se fonder sur les salaires mensuels indiqués dans la table de l'Enquête suisse des salaires TA1,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w:t>
      </w:r>
    </w:p>
    <w:p>
      <w:r>
        <w:t>A/2575/2011 - 16/20 - secteur en question est adapté et exigible (ATF 9C_142/2009 du 20 novembre 2009, consid. 4.1; ATF 9C_237/2007 du 24 août 2007, consid. 5.1; RAMA 2000 n° U 405, consid. 3b).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w:t>
      </w:r>
    </w:p>
    <w:p>
      <w:r>
        <w:rPr>
          <w:b/>
        </w:rPr>
        <w:t>E. 8</w:t>
      </w:r>
    </w:p>
    <w:p>
      <w:r>
        <w:t>S’agissant de l’expertise du Dr L__________, elle correspond en tous points aux exigences jurisprudentielles. Le rapport de ce médecin se fonde en effet sur une étude du dossier médical de l’assurée, relate ses plaintes de manière détaillée et contient une anamnèse fouillée. Il a été établi après un examen clinique approfondi, complété par des discussions avec les médecins traitants de l’assurée. L’expert a de plus soigneusement motivé ses conclusions, en exposant de manière convaincante les motifs qui l’amenaient à s’écarter de celles de la Dresse C___________. Il convient dès lors de lui conférer une pleine valeur probante. Les critiques de l’assurée sur le rapport d’expertise tombent à faux. S’agissant d’abord de la durée de l’examen, on rappellera qu’il ne s'agit pas là d'un élément déterminant pour définir si l'expertise a valeur probante ou non, comme le souligne à juste titre l'OAI. En effet, le travail de l’expert ne se limite pas à l’entretien mais se poursuit ensuite par l’analyse des propos recueillis et du comportement observé (ATF I 746/05 du 30 mai 2006, consid. 2.3). Les spécialistes ne posent au demeurant aucune durée minimale pour un examen clinique dans le cadre d’une expertise psychiatrique (Lignes directrices de la Société suisse de psychiatrie d'assurance pour l'expertise médicale des troubles psychiques, in: Bulletin des médecins suisses, 2004/85, n° 36, p. 1905). L’assurée indique que le laps de temps n’était pas suffisant pour qu’elle puisse exprimer librement ses troubles. Or, le Dr L__________ a recensé précisément les douleurs et les plaintes psychiques qu’elle a alléguées, de sorte que cette objection paraît manifestement infondée. De plus, les conclusions d’une expertise psychiatrique ne reposent pas exclusivement sur la perception subjective par un assuré de son état psychique, mais également sur les observations de l’expert. Des déclarations complémentaires de l’assurée ne suffiraient ainsi pas à établir la gravité d’une atteinte psychique, en l’absence d’éléments objectifs concordants constatés par le médecin. En l’espèce, celui-ci a expliqué précisément pour quels motifs les différents éléments constitutifs d’un état dépressif sévère ne pouvaient être retenus. S’agissant des symptômes évoqués par le Dr F___________, que l’expert a écartés, on ne saurait y voir un « sabordage », contrairement à ce qu’allègue l’assurée. En effet, l’expert avait précisément pour mission de déterminer si l’état de santé de cette dernière s’était aggravée. Dans ce cadre, il était nécessaire qu’il discute de chaque symptôme allégué à l’appui de cette détérioration par le Dr F___________ afin de motiver ses conclusions. Quant</w:t>
      </w:r>
    </w:p>
    <w:p>
      <w:r>
        <w:t>A/2575/2011 - 17/20 - à la discordance avec les conclusions de la Dresse C___________, le Dr L__________ a également expliqué pourquoi il n’y adhérait pas. Il convient d’ailleurs de souligner que les constatations de cette experte n’avaient pas non plus emporté la conviction du SMR. Enfin, contrairement à ce qu’allègue l’assurée, le pronostic quant à l’évolution de ses troubles psychiques n’était pas défavorable. Lors de l’expertise de 2006, les médecins avaient en effet relevé que le trouble anxio-dépressif pourrait s’amender grâce à une prise en charge psychiatrique. Or, l’assurée consulte depuis régulièrement le Dr F___________ et le traitement psychotrope est à dires d’expert correctement dosé. Ainsi, il n’y a rien de surprenant à ce que le Dr L__________ ne constate pas d’aggravation par rapport à 2006. Dans ces conditions, les conclusions de l’expertise du Dr L__________ apparaissent convaincantes et la Cour de céans ne s’en écartera pas. Partant, par appréciation anticipée des preuves, il n’y a pas lieu d’ordonner un complément d’expertise. Les atteintes somatiques de l’assurée ne semblent pas s’être aggravées de manière durable depuis l’expertise réalisée par la Dresse D___________. En particulier, la discopathie L4-L5 signalée par le Dr A___________ dans son rapport du 4 août 2010 avait déjà été mise en évidence dans le rapport radiographique du Dr B___________ en 2003, et l’experte rhumatologue en avait également tenu compte. S’agissant du tunnel carpien bilatéral, une intervention chirurgicale est prévue afin d’y remédier, de sorte qu’il n’est pas démontré que cette atteinte nouvelle entraîne une incapacité de travail durable, et la Dresse J__________ n’y conclut d’ailleurs pas. On notera de plus que cette atteinte est apparue en janvier 2009 et que la demande de révision de la rente en raison d'une aggravation de l'état de santé date du 29 mars 2010, soit plus d'une année après. Si cette affection avait une incidence durable sur la capacité de travail de l'assurée, il est vraisemblable qu'elle aurait demandé la révision de son droit à la rente plus tôt après sa découverte. Les lombosciatalgies diagnostiquées par le Dr G__________ en juillet 2010 ne constituent quant à elles pas un élément nouveau, puisqu’elles ont été mentionnées dans l’expertise rhumatologique et que leur incidence sur la capacité de travail a été prise en considération par la Dresse D___________ qui a conclu à une inaptitude à poursuivre une activité de nettoyeuse et a fait état de limitations fonctionnelles adaptées aux problèmes dorsaux de l’assurée. Or, en l'absence de détérioration organique, l'intensification des douleurs ressenties ne suffit pas à établir une aggravation de l'invalidité. Enfin, contrairement à ce qu’allègue l’assurée, on ne saurait conclure que les limitations fonctionnelles retenues par le Dr G__________ restreignent sa capacité de travail à deux à trois heures par jour au maximum. Ce médecin a certes mentionné que des activités dans différentes positions étaient possibles deux à trois heures au maximum. Il n’a cependant pas mentionné qu’il s’agissait d’une limite journalière, de sorte que cette indication doit</w:t>
      </w:r>
    </w:p>
    <w:p>
      <w:r>
        <w:t>A/2575/2011 - 18/20 - être comprise dans le sens qu’un changement de positions est nécessaire après deux à trois heures au plus. En conséquence, on ne peut retenir d’aggravation durable de l’état de l’assurée au plan somatique.</w:t>
      </w:r>
    </w:p>
    <w:p>
      <w:r>
        <w:rPr>
          <w:b/>
        </w:rPr>
        <w:t>E. 9</w:t>
      </w:r>
    </w:p>
    <w:p>
      <w:r>
        <w:t>Reste à examiner le calcul d’invalidité auquel a procédé l’intimé. Il sied de souligner que le calcul du degré d’invalidité du 22 juin 2011 reprend en réalité celui qui a été effectué en 2006. A défaut d’aggravation démontrée de l’état de santé restreignant la capacité de travail, il est conforme au droit de reprendre le calcul qui a déjà été effectué lors de la décision initiale de refus de rente. Reste que le calcul du 14 juin 2006 fait référence aux revenus réalisables en 2006. Or, l’assurée a été incapable d'exercer sa profession de nettoyeuse dès le 15 décembre 2003, de sorte que le délai de carence d'un an s'est achevé en 2004, qui est donc l'année déterminante pour la naissance du droit à la rente. Il n’y a pas lieu d’indexer le revenu statistique de 3'893 fr. pour 40 heures. Il doit cependant être ajusté à la durée de travail moyenne, qui était de 41.7 heures en 2004 selon la Statistique de la durée normale du travail dans les entreprises de l’OFFICE FEDERAL DE LA STATISTIQUE, ce qui correspond à un revenu mensuel de 4'058 fr. et un revenu annuel de 48'696 fr. et de 43'826 fr. après abattement de 10 %. Quant au revenu sans invalidité, on peut reprendre les chiffres de l'OAI, correspondant aux revenus réalisés auprès des deux employeurs de l’assurée en 2003, soit 29'400 fr. et 16'380 fr. ou 45'561 fr. au total en 2003. Il convient d’indexer ce revenu à 2004 selon l’Indice suisse des salaires (1.7 % pour les femmes), ce qui le porte à 46'284 fr. La comparaison de ces revenus donne un degré d’invalidité de 5.31 %, qui doit être arrondi à 5 % (ATF 130 V 121, consid. 3.2). S’agissant de la réduction de 10 %, il convient de rappeler que l'étendue de l'abattement justifié dans un cas concret relève du pouvoir d'appréciation de l'autorité (ATF 132 V 393, consid. 3.3) et que le juge ne peut, sans motif pertinent, substituer son appréciation à celle de l'administration (ATF 126 V 75, consid. 6). Conformément à l'art. 61 al. 1 let. a de la loi sur la procédure administrative (LPA; E 5 10), seul l'abus ou l'excès du pouvoir d'appréciation peut être revu par le Tribunal de céans.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C 114/01 du 28 juin 2002, consid. 2b/aa; ATF 123 V 150, consid. 2). Il y a excès du pouvoir d'appréciation notamment dans le cas où l'excès de pouvoir est négatif, soit lorsque l'autorité considère qu'elle est liée, alors que la loi l'autorise à statuer selon son appréciation, ou qu'elle renonce d'emblée en tout ou partie à exercer son pouvoir d'appréciation</w:t>
      </w:r>
    </w:p>
    <w:p>
      <w:r>
        <w:t>A/2575/2011 - 19/20 - (ATF 9C_280/2010 du 12 avril 2011, consid. 5.1 ; ATF 116 V 307, consid. 2). En l’occurrence, l’abattement de 10 % n’est pas critiquable compte tenu du fait que l’assurée n’a pas un âge très avancé et qu’elle dispose d’une capacité de travail entière dans une activité adaptée. Quoi qu’il en soit, même en tenant compte de l’abattement maximal de 25 %, le revenu d’invalide serait de 36'522 fr. et la comparaison avec le revenu sans invalidité aboutirait à un degré d’invalidité de 21.1 %, qui reste insuffisant pour ouvrir le droit à une rente.</w:t>
      </w:r>
    </w:p>
    <w:p>
      <w:r>
        <w:rPr>
          <w:b/>
        </w:rPr>
        <w:t>E. 10</w:t>
      </w:r>
    </w:p>
    <w:p>
      <w:r>
        <w:t>S’agissant enfin de la violation du droit d’être entendue que l’assurée tire du fait que l’OAI ne s’est pas déterminé sur les arguments soulevés dans ses observations, la Cour de céans rappelle que le devoir de motiver une décision découle du droit d’être entendu, et a pour but de permettre au justiciable de connaître les fondements de la décision afin de pouvoir la contester (ATF 135 V 65, consid. 2.4). Le droit d’être entendu est de nature formelle, et sa violation conduit à l’annulation de la décision attaquée indépendamment des chances de succès au fond. Selon la jurisprudence, une violation du droit d’être entendu peut toutefois être considérée comme réparée lorsque l’intéressé a la possibilité de s’exprimer devant une autorité de recours disposant d’un plein pouvoir d’examen (ATF 127 V 431, consid. 3d/aa). En l’occurrence, l’OAI ne s’est pas expressément prononcé sur les objections de l’assurée. Si l’on peut regretter cette carence, la décision litigieuse a été soumise à l’examen de la Cour de céans, qui jouit d’une cognition entière, et devant laquelle l’OAI s’est déterminé sur les moyens soulevés par l’assurée à la suite du projet de décision. A supposer qu’il y ait eu violation du droit d’être entendu, ce vice doit dès lors être considéré comme réparé, conformément à la jurisprudence citée, et le grief de l’assurée écarté.</w:t>
      </w:r>
    </w:p>
    <w:p>
      <w:r>
        <w:rPr>
          <w:b/>
        </w:rPr>
        <w:t>E. 11</w:t>
      </w:r>
    </w:p>
    <w:p>
      <w:r>
        <w:t>Eu égard à ce qui précède, le recours sera rejeté. La procédure n'étant pas gratuite en matière d’assurance-invalidité, l’assurée supportera l’émolument de 200 fr. (art. 69 al. 1bis LAI).</w:t>
      </w:r>
    </w:p>
    <w:p>
      <w:r>
        <w:t>A/2575/2011 - 20/20 -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