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ATAS/1098/2010 vom 18. Oktober 2010</w:t>
      </w:r>
    </w:p>
    <w:p>
      <w:r>
        <w:t>GE Cour de justice, 2010-10-18, FR</w:t>
      </w:r>
    </w:p>
    <w:p>
      <w:r>
        <w:rPr>
          <w:b/>
        </w:rPr>
        <w:t xml:space="preserve">Quelle: </w:t>
      </w:r>
      <w:r>
        <w:t>https://mcp.opencaselaw.ch/entscheid/ge_gerichte_ATAS_1098_2010</w:t>
      </w:r>
    </w:p>
    <w:p>
      <w:r>
        <w:t>FR: GE_GERICHTE ATAS/1098/2010 du 18 octobre 2010</w:t>
      </w:r>
    </w:p>
    <w:p>
      <w:r>
        <w:t>IT: GE_GERICHTE ATAS/1098/2010 del 18 ottobre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Interjeté dans les forme et délai prévus par la loi, le présent recours est recevable (art. 56 à 61 LPGA).</w:t>
      </w:r>
    </w:p>
    <w:p>
      <w:r>
        <w:rPr>
          <w:b/>
        </w:rPr>
        <w:t>E. 3</w:t>
      </w:r>
    </w:p>
    <w:p>
      <w:r>
        <w:t>Le litige porte sur le lien de causalité entre les troubles psychiques présentés par le recourant et l’accident du 22 juillet 2005, sur l’octroi d’indemnités journalières postérieurement au 30 juin 2009, sur le degré d’invalidité du recourant et son droit à une rente d’invalidité.</w:t>
      </w:r>
    </w:p>
    <w:p>
      <w:r>
        <w:t>A/1823/2010 - 11/20 - Il convient de relever que l’indemnité pour atteinte à l’intégrité ne fait pas l’objet du litige, dans la mesure où l’intimée a rendu une décision à cet égard en date du 8 septembre 2010, octroyant au recourant une indemnité de 10'680 francs et que le recourant a d'ores et déjà renoncé à s'opposer à celle-ci.</w:t>
      </w:r>
    </w:p>
    <w:p>
      <w:r>
        <w:rPr>
          <w:b/>
        </w:rPr>
        <w:t>E. 4</w:t>
      </w:r>
    </w:p>
    <w:p>
      <w:r>
        <w:t>a) Selon l’art. 6 al. 1 LAA, les prestations d’assurance sont allouées en cas d’accident professionnel, d’accident non-professionnel et de maladie professionnelle.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c)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La jurisprudence a posé plusieurs critères en vue de juger du caractère adéquat du lien de causalité entre un accident et les troubles d'ordre psychique développés</w:t>
      </w:r>
    </w:p>
    <w:p>
      <w:r>
        <w:t>A/1823/2010 - 12/20 - ensuite par la victime. Elle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prendre en considération les sept critères exhaustifs suivants (cf. ATF 134 V 109 consid. 10.2) : - les circonstances concomitantes particulièrement dramatiques ou le caractère particulièrement impressionnant de l’accident ; - la gravité ou la nature particulière des lésions,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cranio-cérébral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apparues au cours de la guérison et aux complications importantes ; - et, enfin, le degré et la durée de l’incapacité de travail.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w:t>
      </w:r>
    </w:p>
    <w:p>
      <w:r>
        <w:t>A/1823/2010 - 13/20 -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115 V 133 consid. 6c/aa).</w:t>
      </w:r>
    </w:p>
    <w:p>
      <w:r>
        <w:rPr>
          <w:b/>
        </w:rPr>
        <w:t>E. 5</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la libre appréciation des preuves, qui s’applique aussi bien en procédure administrative qu’en procédure de recours de droit administratif (art. 40 PCF en corrélation avec l’art. 19 PA),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w:t>
      </w:r>
    </w:p>
    <w:p>
      <w:r>
        <w:t>A/1823/2010 - 14/20 -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6</w:t>
      </w:r>
    </w:p>
    <w:p>
      <w:r>
        <w:t>Le recourant fait tout d'abord valoir qu’il existe un rapport de causalité entre ses troubles psychiques et l’accident, ce que nie l’intimée.</w:t>
      </w:r>
    </w:p>
    <w:p>
      <w:r>
        <w:rPr>
          <w:b/>
        </w:rPr>
        <w:t>E. 7</w:t>
      </w:r>
    </w:p>
    <w:p>
      <w:r>
        <w:t>a) En l’espèce, les médecins de la CRR ont posé le diagnostic d’état dépressif sévère. Ils n’ont toutefois pas examiné la question de la causalité naturelle entre ce trouble et l’accident, précisant toutefois que le recourant était débordé par une accumulation de différents problèmes, soit son accident, le décès de son père, la maladie de sa mère, la séparation de son épouse ou encore l’isolement social. Quant au médecin d’arrondissement de la SUVA, il ne s’est pas non plus prononcé sur la question. Enfin, le Dr S__________ a indiqué, en décembre 2009, qu’il ne pouvait pas conclure à un rapport de causalité naturelle immédiate entre l’accident et les troubles psychiques, attendu que ceux-ci étaient également liés à la psychologie du recourant et à sa capacité à faire face à des événements de vie défavorables. Il a ajouté que l’accident et les interventions chirurgicales semblaient avoir joué un rôle non négligeable dans l’affection psychique du recourant, mais n’a pas pu le quantifier. En toute hypothèse, cette question n’a pas besoin d’être tranchée en l’espèce, car même si les troubles psychiques du recourant étaient en relation de causalité naturelle avec l’accident du 22 juillet 2005, leur caractère adéquat fait, en tout état de cause, défaut pour les motifs qui suivent. b) L’intimée a estimé que l’accident subi par le recourant devait être classé parmi les accidents de gravité moyenne à la limite de la banalité et le recourant qu’il s’agissait d’un accident de gravité moyenne. Le Tribunal de céans est d’avis, qu’au vu de la jurisprudence, la chute du recourant de sa propre hauteur lors de sa course pour prendre le bus, doit être considérée au mieux comme un accident de gravité moyenne à la limite de l’accident de peu de gravité. Il y a lieu en outre de nier l’existence de circonstances concomitantes particulièrement dramatiques et du caractère particulièrement impressionnant de l’accident du 22 juillet 2005, le recourant ayant uniquement déclaré être tombé dans sa course sans mentionner de circonstances particulières. Il n’a pas souffert de lésions graves ou d’une nature</w:t>
      </w:r>
    </w:p>
    <w:p>
      <w:r>
        <w:t>A/1823/2010 - 15/20 - particulière, ayant essentiellement présenté une instabilité de l’épaule droite. Quant au critère de la durée anormalement longue du traitement médical, il est vrai que le recourant a subi deux opérations, à un an et à plus de deux ans de son accident, toutefois, les délais importants semblent bien plutôt liés au délai d’attente pour se faire opérer aux HUG qu’à une longue durée du traitement. De plus, le long traitement antalgique et conservateur, dont se prévaut le recourant, ne peut pas être considéré comme un traitement continu spécifique et lourd, de sorte que ce critère de la longue durée du traitement n’est pas non plus réalisé. En outre, le dossier médical de l’assuré ne contient, à aucun moment, la mention d’une erreur dans le traitement médical ayant entrainé un aggravation de ses séquelles. Le critère du degré et de la durée de l’incapacité de travail ne peut pas non plus être retenu. Enfin, le recourant allègue avoir encore des douleurs importantes dans tout son membre supérieur droit, qu’il dit ne pas pouvoir bouger. La réalisation de ce seul critère n’est toutefois pas suffisant, au vu de la jurisprudence, pour reconnaître un caractère adéquat au rapport de causalité entre l’accident et l’état dépressif de gravité moyenne à sévère mis en évidence tant par les médecins de la CRR que par les psychiatres traitants du recourant. Par conséquent, les troubles psychiques présentés par le recourant ne sont pas en relation de causalité avec l’accident et ne peuvent ainsi pas lui donner droit à des prestations de l’assurance-accidents. Pour le surplus, au vu de l’absence de causalité adéquate, il n’y a pas lieu de mettre en œuvre une expertise psychiatrique, comme requise par le recourant, afin de se prononcer sur la causalité naturelle entre ses troubles psychiques et l’accident.</w:t>
      </w:r>
    </w:p>
    <w:p>
      <w:r>
        <w:rPr>
          <w:b/>
        </w:rPr>
        <w:t>E. 8</w:t>
      </w:r>
    </w:p>
    <w:p>
      <w:r>
        <w:t>Le recourant soutient en outre que c’est à tort que l’intimée lui a alloué une rente d’invalidité dès le 1er juillet 2009 et que les indemnités journalières auraient dû continuer à lui être versées après le 30 juin 2009, et ce jusqu’à ce que d’éventuelles mesures de réadaptation professionnelle aient été menées à terme.</w:t>
      </w:r>
    </w:p>
    <w:p>
      <w:r>
        <w:rPr>
          <w:b/>
        </w:rPr>
        <w:t>E. 9</w:t>
      </w:r>
    </w:p>
    <w:p>
      <w:r>
        <w:t>a) En vertu de l’art. 16 al. 2, le droit à l’indemnité journalière s'éteint dès que l'assuré a recouvré sa pleine capacité de travail, dès qu'une rente est versée ou dès que l'assuré décède. D'après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Aux termes de l'alinéa 3 de cette disposition légale, le Conseil fédéral édicte des prescriptions détaillées sur la naissance du droit aux rentes lorsque l'on ne peut plus attendre de la continuation du traitement médical une sensible amélioration de l'état de l'assuré, mais que la décision de l'assurance- invalidité quant à la réadaptation professionnelle intervient</w:t>
      </w:r>
    </w:p>
    <w:p>
      <w:r>
        <w:t>A/1823/2010 - 16/20 - plus tard. En application de cette disposition, le Conseil fédéral a édicté l'art. 30 OLAA qui dispose que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dès la naissance du droit à une indemnité journalière de l'AI (a), avec la décision négative de l'AI concernant la réadaptation professionnelle (b), avec la fixation de la rente définitive (c).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(ATF 116 V 251 consid. 2b et la référence). C'est donc une prestation temporaire, fixée provisoirement, et qui doit être allouée aussi bien pendant le déroulement des mesures de réadaptation de l'assurance-invalidité que pendant la période qui va de la fin du traitement médical jusqu'au moment où décision est prise quant à d'éventuelles mesures de réadaptation, cas échéant à la mise en œuvre de celles-ci (ATF 129 V 285). Dans un arrêt du 5 juillet 1990 (ATF 116 V 246), le Tribunal fédéral des assurances (ci-après TFA) a estimé que la rente transitoire fondée sur l'art. 30 OLAA doit être fixée d'après la méthode générale de comparaison des revenus. Toutefois, l'évaluation de l'invalidité intervient dans ce cas avant l'exécution éventuelle de mesures de réadaptation. Seule entre en considération, à cette date, l'activité qui peut raisonnablement être exigée de la part d'un assuré non encore réadapté, compte tenu de la situation équilibrée du marché du travail. b) En vertu de l'art. 18 al. 1 LAA, l'assuré a droit à une rente d'invalidité s'il devient invalide à 10 % au moins par suite d'un accident. Est réputée invalidité l'incapacité de gain totale ou partielle qui est présumée permanente ou de longue durée (art. 8 al. 1 LPGA). c) Pour évaluer le taux d'invalidité, il convient de comparer le revenu que l'assuré aurait pu obtenir s'il n'était pas invalide avec celui qu'il pourrait obtenir en exerçant l'activité qui peut raisonnablement être exigée de lui après les traitements et les mesures de réadaptation, sur un marché du travail équilibré (art. 16 LPGA).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w:t>
      </w:r>
    </w:p>
    <w:p>
      <w:r>
        <w:t>A/1823/2010 - 17/20 - l'évolution des circonstances à l'époque où est né le droit à la rente (cf. ATF 129 V 222 consid. 4). Quant au revenu de l'activité raisonnablement exigible, il doit être déterminé en se référant aux conditions d'un marché du travail équilibré et structuré offrant un éventail d'emplois diversifiés. Il s'agit donc d'une notion théorique. Lorsque l'assuré ne reprend pas d'activité lucrative, la comparaison peut se faire au moyen de tabelles statistiques (ATF 126 V 76 consid. 3a/bb et les références) ou de données salariales résultant de descriptions de postes de travail (DPT) (ATF 129 V 472). Lorsque le revenu d'invalide est déterminé sur la base des DPT, une réduction du salaire, eu égard au système même des DPT, n'est ni justifié ni admissible. En effet, les limitations spécifiques sont déjà prises en considération dans le choix des DTP, et les autres critères personnels et professionnels peuvent être pris en compte dans la fourchette déterminée par le salaire minimum et le salaire maximum de chaque poste de travail (ATF 129 V 472 consid. 4.2.3 ; FRESARD/ MOSER-SZELESS, l’assurance-accidents obligatoire in SBVR, p. 901, no 175) Enfin, est déterminant, lors de la comparaison des revenus,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consid. 4a; cf. aussi ATF 129 V 222).</w:t>
      </w:r>
    </w:p>
    <w:p>
      <w:r>
        <w:rPr>
          <w:b/>
        </w:rPr>
        <w:t>E. 10</w:t>
      </w:r>
    </w:p>
    <w:p>
      <w:r>
        <w:t>a) En l’occurrence, dans leur rapport du 1er septembre 2008, les médecins de la CRR ont retenu, sur le plan somatique, les diagnostics de thérapies physiques et fonctionnelles (diagnostic primaire) et de douleurs du membre supérieur droit, d’omarthrose droite débutante, de contusion de l’épaule droite le 22 juillet 2005, avec possible luxation de l’épaule spontanément réduite, d’instabilité antérieure de l’épaule droite traitée par stabilisation selon Bankart le 12 juillet 2006, de restabilisation antérieure de l’épaule droite selon Bankart le 14 novembre 2007 et de discrets signes irritatifs du nerf ulnaire au coude droit (diagnostics secondaires). Il n’y avait, d’après les médecins, ni d’indication chirurgicale ni d’indication à la poursuite de la physiothérapie ambulatoire. Ils ont conclu que la capacité de travail du recourant était nulle dans l’activité de maçon, mais entière dans une activité adaptée à ses limitations fonctionnelles, lesquelles concernaient les travaux au dessus du niveau des épaules et le port de charges lourdes. D’après eux, la situation médicale était stabilisée, toutefois, l’isolement social, la mauvaise compréhension du français et l’importance du vécu douloureux allaient rendre difficile une reprise professionnelle.</w:t>
      </w:r>
    </w:p>
    <w:p>
      <w:r>
        <w:t>A/1823/2010 - 18/20 - Le Tribunal de céans constate que le rapport de la CRR a été établi sur la base de l’anamnèse du recourant et se fonde sur des examens médicaux complets du recourant, et notamment sur des examens radiologique, électroneuromyographique et scintigraphique, et prend en considération les plaintes exprimées par celui-ci. Les diagnostics ont été précisément posés et la description du contexte et de l’appréciation de la situation médicale est claire et non contradictoire. Enfin, les conclusions sont motivées. Il n’y a pas non plus d’indices permettant de remettre en cause le bien-fondé desdites conclusions. Ce rapport présente dès lors valeur probante au sens où l’entend la jurisprudence. Il résulte de ce qui précède que l’état de santé somatique du recourant était stabilisé au mois de septembre 2008 et que celui-ci pouvait reprendre, depuis lors, une activité lucrative adaptée à ses limitations fonctionnelles liées à son membre supérieur droit. Les conclusions du rapport de la CRR ont également été confirmées par le Dr N____________, lequel a précisé, durant le mois de décembre 2008, que la poursuite de mesures thérapeutiques n’allait pas modifier la situation. Le recourant ne conteste au demeurant pas que son état de santé n’ait pas déjà été stabilisé à cette époque. C’est ainsi à juste titre que l’intimée a déterminé le droit du recourant à une rente d’invalidité. b) Le recourant requiert toutefois que l’intimée continue à lui verser des indemnités journalières tant que l’assurance-invalidité n’a pas statué sur des mesures de réadaptation professionnelle et qu’elles n’ont pas été mises à exécution. A cet égard, il n’y a aucune obligation pour l’intimée de continuer à verser des indemnités journalières, alors que l’état de santé du recourant est stabilisé, et ce d’autant moins qu’elle est habilitée à statuer sur l’octroi d’une rente d’invalidité même si l’assurance-invalidité ne s’est pas encore prononcée sur des mesures d’ordre professionnel (art. 30 OLAA).</w:t>
      </w:r>
    </w:p>
    <w:p>
      <w:r>
        <w:rPr>
          <w:b/>
        </w:rPr>
        <w:t>E. 11</w:t>
      </w:r>
    </w:p>
    <w:p>
      <w:r>
        <w:t>Il sied dès lors d’examiner le degré d’invalidité du recourant pour fixer son droit à une rente d’invalidité.</w:t>
      </w:r>
    </w:p>
    <w:p>
      <w:r>
        <w:rPr>
          <w:b/>
        </w:rPr>
        <w:t>E. 12</w:t>
      </w:r>
    </w:p>
    <w:p>
      <w:r>
        <w:t>a) Le revenu sans invalidité n’est pas contesté par le recourant. En revanche, il soutient que les activités choisies par l’intimée, pour déterminer son revenu d’invalide, ne tiennent pas compte des limitations fonctionnelles liées à son bras droit. En l’espèce, il y a lieu de constater que les activités qui ont été sélectionnées par l’intimée, soit les activités d’ouvrier magasinier, d’aide-mécanicien, de caissier ou encore de collaborateur de production ne requièrent, d’après les descriptifs de poste de travail (DTP), ni port de charges lourdes ni travaux au dessus du niveau des épaules, de sorte que ces activités sont compatibles avec l’état de santé du recourant</w:t>
      </w:r>
    </w:p>
    <w:p>
      <w:r>
        <w:t>A/1823/2010 - 19/20 - mis en exergue par les médecins de la CRR, dont le rapport présente pleine valeur probante au sens de la jurisprudence. De plus, il ressort également des DTP que ces activités ne nécessitent pas de formation spécifique, de sorte qu’elles sont ainsi exigibles de la part du recourant. C’est ainsi à juste titre que l’intimée s’est fondée sur les DTP pour calculer le revenu d’invalide. b) L’intimée a fixé le début du droit à une rente d’invalidité au 1er juillet 2009, de sorte qu’elle a procédé à une comparaison des revenus durant cette année-là. De plus, elle a déterminé, avec raison, le revenu d’invalide en se fondant sur les DTP sans procéder à une réduction de ce salaire eu égard aux limitations fonctionnelles du recourant, et ce conformément à la jurisprudence citée ci-dessus, et s’est basée sur les données de son dernier employeur pour obtenir le revenu sans invalidité. Son calcul, dont il résulte une perte de gain de 13%, ne prête ainsi pas le flanc à la critique. Le recourant a dès lors droit à une rente d’invalidité de 13%, comme retenu par l’intimé.</w:t>
      </w:r>
    </w:p>
    <w:p>
      <w:r>
        <w:rPr>
          <w:b/>
        </w:rPr>
        <w:t>E. 13</w:t>
      </w:r>
    </w:p>
    <w:p>
      <w:r>
        <w:t>Mal fondé, le recours doit être entièrement rejeté.</w:t>
      </w:r>
    </w:p>
    <w:p>
      <w:r>
        <w:t>A/1823/2010 - 20/20 -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