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ATAS/1096/2017 vom 5. Dezember 2017</w:t>
      </w:r>
    </w:p>
    <w:p>
      <w:r>
        <w:t>GE Cour de justice, 2017-12-05, FR</w:t>
      </w:r>
    </w:p>
    <w:p>
      <w:r>
        <w:rPr>
          <w:b/>
        </w:rPr>
        <w:t xml:space="preserve">Quelle: </w:t>
      </w:r>
      <w:r>
        <w:t>https://mcp.opencaselaw.ch/entscheid/ge_gerichte_ATAS_1096_2017</w:t>
      </w:r>
    </w:p>
    <w:p>
      <w:r>
        <w:t>FR: GE_GERICHTE ATAS/1096/2017 du 5 décembre 2017</w:t>
      </w:r>
    </w:p>
    <w:p>
      <w:r>
        <w:t>IT: GE_GERICHTE ATAS/1096/2017 del 5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 On notera en particulier que les conclusions du demandeur doivent être comprises comme visant la condamnation de l’intimé au versement de prestations d’invalidité, et non la simple constatation de son droit à ces prestations. Il s’agit ainsi bien de conclusions de nature formatrice et non constatatoire, de sorte qu’elles sont recevables (cf. ATF 129 V 289 consid. 2.1).</w:t>
      </w:r>
    </w:p>
    <w:p>
      <w:r>
        <w:rPr>
          <w:b/>
        </w:rPr>
        <w:t>E. 4</w:t>
      </w:r>
    </w:p>
    <w:p>
      <w:r>
        <w:t>Le litige porte sur le droit du recourant à des prestations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t>A/1634/2017 - 10/14 -</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t>A/1634/2017 - 11/14 -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En l’espèce, on notera en préambule que la position de l’intimé est pour le moins équivoque, puisqu’il a affirmé dans les écritures versées dans le cadre de la présente procédure que la capacité de travail dans une activité adaptée était de 50 %, alors que le calcul d’invalidité consacré dans sa décision repose sur une capacité de travail entière dans une activité adaptée. Malgré cette contradiction, c’est la validité de cette dernière prémisse qui doit être examinée dans le cadre de la présente procédure, dès lors que l’objet du recours est la décision, et en particulier son dispositif (cf. arrêt du Tribunal fédéral des assurances I 512/00 du 15 mars 2001 consid. 1a). Force est de constater qu’il n’existe au dossier aucun rapport médical propre à étayer la position de l’intimé qui satisfasse pleinement aux exigences dégagées par la jurisprudence pour se voir reconnaître une pleine valeur probante. En effet, aucun de ces documents ne contient tous les éléments formels nécessaires. En particulier, les estimations de la capacité de travail qu’ils contiennent ne sont guère motivées. S’agissant du rapport du SMR du 1er février 2017, on rappellera en préambule qu’un tel rapport ne constitue pas un examen médical sur la personne de l'assuré au sens de l'art. 49 al. 2 du règlement sur l’assurance-invalidité (RAI - RS 831.201), mais un rapport au sens de l'art. 49 al. 3 RAI. De tels rapports ne se fondent pas sur des examens médicaux effectués par le SMR lui-même, mais contiennent les résultats de l'examen des conditions médicales du droit aux prestations et une</w:t>
      </w:r>
    </w:p>
    <w:p>
      <w:r>
        <w:t>A/1634/2017 - 12/14 - recommandation, sous l'angle médical, concernant la suite à donner à la demande de prestations. Ils ont de ce fait une autre fonction que les expertises médicales au sens de l'art. 44 LPGA.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Malgré les exigences formelles réduites en lien avec les rapports du SMR, l’avis de la Dresse J______ ne suffit pas non plus à sceller le sort du litige. D’une part, ce médecin fait état d’une capacité entière dans une activité adaptée « selon toute vraisemblance ». Or,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8C_608/2010 du</w:t>
      </w:r>
    </w:p>
    <w:p>
      <w:r>
        <w:rPr>
          <w:b/>
        </w:rPr>
        <w:t>E. 10</w:t>
      </w:r>
    </w:p>
    <w:p>
      <w:r>
        <w:t>mars 2011 consid. 4.1). D’autre part, ses conclusions admettant une pleine capacité de travail dans une activité adaptée dès mai 2013 se fondent sur les indications du Dr G______ et sur le fait que la virémie n’était plus détectable à cette date. Le médecin du SMR écarte l’asthénie rapportée par le médecin traitant du recourant au motif qu’elle n’aurait pas été diagnostiquée par les infectiologues. Cependant, le Dr G______ s’est essentiellement prononcé sur l’atteinte VIH et n’a donc pas tenu compte de l’état de santé du recourant dans sa globalité dans son rapport du 19 décembre 2012. Le fait qu’il n’y mentionne pas l’asthénie ne suffit donc pas à exclure ce diagnostic. Il semblerait d’ailleurs que le Dr G______ soit revenu sur son analyse de la capacité de travail lors de sa conversation téléphonique avec le Dr F______ en juillet 2013. Il apparait également que le recourant a souffert de problèmes dermatologiques conséquents en 2013, dont l’incidence n’a guère été analysée. On ignore également quelles sont les répercussions de l’hépatite C et de son traitement sur sa capacité de gain. Enfin, au vu des explications données par la Dresse H______ au sujet des interactions médicamenteuses rendant impossible l’administration d’un traitement antalgique, il n’est pas exclu que l’incidence des gonalgies soit plus importante que chez un assuré ne suivant pas d’autre traitement.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w:t>
      </w:r>
    </w:p>
    <w:p>
      <w:r>
        <w:t>A/1634/2017 - 13/14 - a lieu de mettre en œuvre une expertise par un médecin indépendant selon la procédure de l'art. 44 LPGA ou une expertise judiciaire (ATF 135 V 465 consid. 4.4 ; arrêt du Tribunal fédéral 8C_585/2013 du 15 septembre 2014 consid. 4). Au vu des doutes sérieux que laissent subsister les rapports de la Dresse H______ au sujet de la capacité de travail et de gain du recourant, une expertise doit être mise en œuvre. La chambre de céans relève que l’argument de l’intimé, selon lequel une telle mesure n’est pas indiquée pour trancher la capacité de travail et de gain passée, tombe manifestement à faux. En effet, les experts sont généralement appelés à statuer sur le caractère invalidant d’atteintes à la santé de manière rétrospective.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 n’a pas instruit à satisfaction de droit la situation médicale du recourant. Il lui appartiendra ainsi de mettre en œuvre une expertise afin de déterminer les répercussions des diverses atteintes à la santé sur la capacité de travail et de gain du recourant depuis décembre 2012. Cet examen devra être confié à un médecin généraliste, à charge pour lui de s’entourer d’avis de spécialistes s’il l’estime nécessaire à l’exécution de sa mission. 9. Compte tenu de ce qui précède, le recours est partiellement admis.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recourant n'a pas conclu à l'allocation d’une indemnité de procédure. Des dépens peuvent cependant être alloués à une partie sans conclusion expresse dans ce sens (ATF 118 V 139 consid. 3). L’indemnité due au recourant à ce titre sera fixée à CHF 2'000.-. La procédure en matière d’assurance-invalidité n'étant pas gratuite (art. 69 al. 1bis LAI), l’intimé sera condamné au paiement d’un émolument de CHF 200.-.</w:t>
      </w:r>
    </w:p>
    <w:p>
      <w:r>
        <w:t>A/1634/2017 - 14/14 -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