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ATAS/1096/2011 vom 24. November 2011</w:t>
      </w:r>
    </w:p>
    <w:p>
      <w:r>
        <w:t>GE Cour de justice, 2011-11-24, FR</w:t>
      </w:r>
    </w:p>
    <w:p>
      <w:r>
        <w:rPr>
          <w:b/>
        </w:rPr>
        <w:t xml:space="preserve">Quelle: </w:t>
      </w:r>
      <w:r>
        <w:t>https://mcp.opencaselaw.ch/entscheid/ge_gerichte_ATAS_1096_2011</w:t>
      </w:r>
    </w:p>
    <w:p>
      <w:r>
        <w:t>FR: GE_GERICHTE ATAS/1096/2011 du 24 novembre 2011</w:t>
      </w:r>
    </w:p>
    <w:p>
      <w:r>
        <w:t>IT: GE_GERICHTE ATAS/1096/2011 del 24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en l’espèce.</w:t>
      </w:r>
    </w:p>
    <w:p>
      <w:r>
        <w:rPr>
          <w:b/>
        </w:rPr>
        <w:t>E. 3</w:t>
      </w:r>
    </w:p>
    <w:p>
      <w:r>
        <w:t>Il n’est pas contesté que le recourant a droit à une rente entière de l’assurance- invalidité du 1er février au 30 septembre 2008 et du 1er janvier au 31 juillet 2009. Le litige porte sur le point de savoir s’il a droit à une rente du 1er octobre au 31 décembre 2008 et à compter du 1er août 2009.</w:t>
      </w:r>
    </w:p>
    <w:p>
      <w:r>
        <w:rPr>
          <w:b/>
        </w:rPr>
        <w:t>E. 4</w:t>
      </w:r>
    </w:p>
    <w:p>
      <w:r>
        <w:t>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 non publié I 520/05 du 28 décembre 2006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 non publié I 559/02 du 31 janvier 2003 consid. 3.2 et les arrêts cités). La réglementation sur la révision ne saurait en effet constituer un</w:t>
      </w:r>
    </w:p>
    <w:p>
      <w:r>
        <w:t>A/327/2011 - 12 - fondement juridique à un réexamen sans condition du droit à la rente (ATF non publié I 406/05 du 13 juillet 2006 consid. 4.1).</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La notion d’invalidité, au sens du droit des assurances sociales, est une notion économique et non médicale; ce sont les conséquences économiques objectives de l’incapacité fonctionnelle qu’il importe d’évaluer (ATF 110 V 275 consid. 4a ;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6</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w:t>
      </w:r>
    </w:p>
    <w:p>
      <w:r>
        <w:t>A/327/2011 - 13 -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Dans ce contexte, on rappellera encore que la reconnaissance du caractère invalidant de troubles somatoformes douloureux chez de jeunes assurés doit rester exceptionnelle en l'absence de comorbidité psychiatrique (ATF non publié I 488/04 du 31 janvier 2006 et les références citées).</w:t>
      </w:r>
    </w:p>
    <w:p>
      <w:r>
        <w:rPr>
          <w:b/>
        </w:rPr>
        <w:t>E. 7</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w:t>
      </w:r>
    </w:p>
    <w:p>
      <w:r>
        <w:t>A/327/2011 - 14 -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(ATF non publié I 805/04 du 20 avril 2006 consid. 5.2.1). Le TF a également considéré qu'une personnalité à traits histrioniques ne constituait pas non plus, à côté du trouble dépressif récurrent, épisode actuel moyen (F33.1) une comorbidité psychiatrique autonome du trouble fibromyalgique (ATF non publié I 297/05 du 17 juillet 2006). b) S'agissant des affections corporelles chroniques, il doit exister une limitation fonctionnelle sur le plan somatique (notamment ATF non publié I 317/05 du</w:t>
      </w:r>
    </w:p>
    <w:p>
      <w:r>
        <w:rPr>
          <w:b/>
        </w:rPr>
        <w:t>E. 12</w:t>
      </w:r>
    </w:p>
    <w:p>
      <w:r>
        <w:t>juin 2006).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 non publié I 644/04 du 20 mars 2006). Un tel état ne saurait être admis lorsque l'assuré n'a pas suivi de traitement psychiatrique durable et que, par ailleurs, il fait preuve d'une mauvaise compliance médicamenteuse (ATF non publié I 506/04 du 22 février 2006, voir aussi ATF non publié I 483/05 du 21 avril 2006), lorsqu'il a uniquement pris un traitement d'anxiolytiques et non pas d'antidépresseurs (ATF non publié I 580/04 du 4 février 2006), lorsque la poursuite du traitement est susceptible d'améliorer la symptomatologie d'anxiété (ATF non publié I 380/03 du 8 juillet 2004), lorsque l'épisode dépressif moyen est en rémission complète (ATF non publié I 297/05 du</w:t>
      </w:r>
    </w:p>
    <w:p>
      <w:r>
        <w:rPr>
          <w:b/>
        </w:rPr>
        <w:t>E. 17</w:t>
      </w:r>
    </w:p>
    <w:p>
      <w:r>
        <w:t>Êtes-vous d’accord avec les conclusions du Dr L________ (rapports des 7 janvier 2009 et 22 juillet 2010)? Si non, pourquoi ?</w:t>
      </w:r>
    </w:p>
    <w:p>
      <w:r>
        <w:rPr>
          <w:b/>
        </w:rPr>
        <w:t>E. 18</w:t>
      </w:r>
    </w:p>
    <w:p>
      <w:r>
        <w:t>Êtes-vous d’accord avec les conclusions du Dr O________ (rapports des 10 juin 2009 et 30 août 2010) ? Si non, pourquoi ?</w:t>
      </w:r>
    </w:p>
    <w:p>
      <w:r>
        <w:rPr>
          <w:b/>
        </w:rPr>
        <w:t>E. 19</w:t>
      </w:r>
    </w:p>
    <w:p>
      <w:r>
        <w:t>Au vu du dossier, vos réponses aux questions susmentionnées sont-elles identiques à celles que vous auriez fournies à la date de la décision rendue par l’intimé le 15 décembre 2010 ? Si non, pourquoi et quelles sont les réponses qui varient ?</w:t>
      </w:r>
    </w:p>
    <w:p>
      <w:r>
        <w:rPr>
          <w:b/>
        </w:rPr>
        <w:t>E. 20</w:t>
      </w:r>
    </w:p>
    <w:p>
      <w:r>
        <w:t>décembre 2005) ? Si non, pourquoi ? Comment les diagnostics posés ont-ils évolué depuis lors ? 15. Êtes-vous d’accord avec les conclusions du Dr O________ (rapports des 10 juin 2009 et 30 août 2010) ? Si non, pourquoi ? 16. Au vu du dossier, vos réponses aux questions susmentionnées sont-elles identiques à celles que vous auriez fournies à la date de la décision rendue par l’intimé le 15 décembre 2010 ? Si non, pourquoi et quelles sont les réponses qui varient ? 17. Faire toutes autres observations ou suggestions utiles.</w:t>
      </w:r>
    </w:p>
    <w:p>
      <w:r>
        <w:t>***</w:t>
      </w:r>
    </w:p>
    <w:p>
      <w:r>
        <w:t>- 23/23-</w:t>
      </w:r>
    </w:p>
    <w:p>
      <w:r>
        <w:t>A/327/2011</w:t>
      </w:r>
    </w:p>
    <w:p>
      <w:r>
        <w:t>En consilium 1. Compte tenu des diagnostics somatiques et psychiques constatés, l’activité habituelle est-elle raisonnablement exigible de la part de l’assuré? Si non, pourquoi et depuis quand (mois et année) ? Si oui, à quel taux et depuis quand (mois et année) ? Le taux a-t-il évolué ? Si oui, comment et quand (mois et année) ? 2. Compte tenu des diagnostics somatiques et psychiques constatés, une activité lucrative adaptée est-elle raisonnablement exigible de la part de l’assuré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3. Des mesures de réadaptation professionnelles sont-elles envisageables ? Si non, pourquoi ? 4. Quel est votre pronostic quant à l’exigibilité de la reprise professionnelle ? 5. Êtes-vous d’accord avec les conclusions du Dr O________ (avis du 30 août 2010) ? Si non, pourquoi ? 3. Invite les experts à déposer à leur meilleure convenance un rapport en trois exemplaires à la Cour de céans ; 4. Réserve le fond.</w:t>
      </w:r>
    </w:p>
    <w:p>
      <w:r>
        <w:t>La greffière</w:t>
      </w:r>
    </w:p>
    <w:p>
      <w:r>
        <w:t>Maryse BRIAND</w:t>
      </w:r>
    </w:p>
    <w:p>
      <w:r>
        <w:t>La Présidente</w:t>
      </w:r>
    </w:p>
    <w:p>
      <w:r>
        <w:t>Florence KRAUSKOPF</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