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ATAS/1095/2020 vom 16. November 2020</w:t>
      </w:r>
    </w:p>
    <w:p>
      <w:r>
        <w:t>GE Cour de justice, 2020-11-16, FR</w:t>
      </w:r>
    </w:p>
    <w:p>
      <w:r>
        <w:rPr>
          <w:b/>
        </w:rPr>
        <w:t xml:space="preserve">Quelle: </w:t>
      </w:r>
      <w:r>
        <w:t>https://mcp.opencaselaw.ch/entscheid/ge_gerichte_ATAS_1095_2020</w:t>
      </w:r>
    </w:p>
    <w:p>
      <w:r>
        <w:t>FR: GE_GERICHTE ATAS/1095/2020 du 16 novembre 2020</w:t>
      </w:r>
    </w:p>
    <w:p>
      <w:r>
        <w:t>IT: GE_GERICHTE ATAS/1095/2020 del 16 novembre 2020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A/2614/2020 ATAS/1095/2020 COUR DE JUSTICE Chambre des assurances sociales Arrêt du 16 novembre 2020 6ème Chambre</w:t>
      </w:r>
    </w:p>
    <w:p>
      <w:r>
        <w:t>En la cause A______ SA, sise à ZUG</w:t>
      </w:r>
    </w:p>
    <w:p>
      <w:r>
        <w:t>recourante</w:t>
      </w:r>
    </w:p>
    <w:p>
      <w:r>
        <w:t>contre CAISSE CANTONALE GENEVOISE DE COMPENSATION, sise 12 rue des Gares, case postale 2595, GENEVE</w:t>
      </w:r>
    </w:p>
    <w:p>
      <w:r>
        <w:t>intimée</w:t>
      </w:r>
    </w:p>
    <w:p>
      <w:r>
        <w:t>A/2614/2020 - 2/2 - Vu en fait la décision du 27 août 2020 de la Caisse cantonale genevoise de compensation (ci-après : la caisse) notifiée à A______ SA (ci-après : la recourante) ; Vu le recours du 31 août 2020 déposé par la recourante auprès de la chambre des assurances sociales de la Cour de justice ; Vu la réponse du 14 septembre 2020 de la caisse ; Vu le courrier de la recourante du 30 octobre 2020, par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